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华文中宋" w:hAnsi="华文中宋" w:eastAsia="华文中宋"/>
          <w:b/>
          <w:bCs/>
          <w:sz w:val="44"/>
          <w:szCs w:val="44"/>
        </w:rPr>
      </w:pPr>
      <w:bookmarkStart w:id="0" w:name="_Hlk155861534"/>
      <w:r>
        <w:rPr>
          <w:rFonts w:hint="eastAsia" w:ascii="华文中宋" w:hAnsi="华文中宋" w:eastAsia="华文中宋"/>
          <w:b/>
          <w:bCs/>
          <w:sz w:val="44"/>
          <w:szCs w:val="44"/>
        </w:rPr>
        <w:t>再生稻头季低损高效机械</w:t>
      </w:r>
      <w:bookmarkStart w:id="1" w:name="_GoBack"/>
      <w:bookmarkEnd w:id="1"/>
      <w:r>
        <w:rPr>
          <w:rFonts w:hint="eastAsia" w:ascii="华文中宋" w:hAnsi="华文中宋" w:eastAsia="华文中宋"/>
          <w:b/>
          <w:bCs/>
          <w:sz w:val="44"/>
          <w:szCs w:val="44"/>
        </w:rPr>
        <w:t>化收获技术</w:t>
      </w:r>
    </w:p>
    <w:bookmarkEnd w:id="0"/>
    <w:p>
      <w:pPr>
        <w:snapToGrid w:val="0"/>
        <w:spacing w:line="600" w:lineRule="exact"/>
        <w:jc w:val="left"/>
        <w:rPr>
          <w:rFonts w:eastAsiaTheme="minorEastAsia"/>
          <w:bCs/>
          <w:sz w:val="32"/>
          <w:szCs w:val="32"/>
        </w:rPr>
      </w:pPr>
      <w:r>
        <w:rPr>
          <w:rFonts w:hint="eastAsia" w:ascii="黑体" w:hAnsi="黑体" w:eastAsia="黑体"/>
          <w:bCs/>
          <w:sz w:val="32"/>
          <w:szCs w:val="32"/>
        </w:rPr>
        <w:t xml:space="preserve">    </w:t>
      </w:r>
      <w:r>
        <w:rPr>
          <w:rFonts w:ascii="黑体" w:hAnsi="黑体" w:eastAsia="黑体"/>
          <w:bCs/>
          <w:sz w:val="32"/>
          <w:szCs w:val="32"/>
        </w:rPr>
        <w:t>一、技术概述</w:t>
      </w:r>
    </w:p>
    <w:p>
      <w:pPr>
        <w:snapToGrid w:val="0"/>
        <w:spacing w:line="600" w:lineRule="exact"/>
        <w:ind w:firstLine="643" w:firstLineChars="200"/>
        <w:jc w:val="left"/>
        <w:rPr>
          <w:rFonts w:ascii="楷体" w:hAnsi="楷体" w:eastAsia="楷体"/>
          <w:b/>
          <w:bCs/>
          <w:sz w:val="32"/>
          <w:szCs w:val="32"/>
        </w:rPr>
      </w:pPr>
      <w:r>
        <w:rPr>
          <w:rFonts w:ascii="楷体" w:hAnsi="楷体" w:eastAsia="楷体"/>
          <w:b/>
          <w:bCs/>
          <w:sz w:val="32"/>
          <w:szCs w:val="32"/>
        </w:rPr>
        <w:t>（一）</w:t>
      </w:r>
      <w:r>
        <w:rPr>
          <w:rFonts w:hint="eastAsia" w:ascii="楷体" w:hAnsi="楷体" w:eastAsia="楷体"/>
          <w:b/>
          <w:bCs/>
          <w:sz w:val="32"/>
          <w:szCs w:val="32"/>
        </w:rPr>
        <w:t>技术</w:t>
      </w:r>
      <w:r>
        <w:rPr>
          <w:rFonts w:ascii="楷体" w:hAnsi="楷体" w:eastAsia="楷体"/>
          <w:b/>
          <w:bCs/>
          <w:sz w:val="32"/>
          <w:szCs w:val="32"/>
        </w:rPr>
        <w:t>基本情况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再生稻是水稻种植的一种技术模式，即种一茬收获两次，在头季收获后，通过采用特有栽培管理措施，利用留茬上存活的休眠芽再次萌发、分蘖、长穗，再收一季；在光温条件一季有余、两季不足的区域可提高复种指数，增加周年产量，是切实提升粮食产能的重要技术措施。该技术模式投入少、效益高，适宜在我国长江中下游部分区域推广应用。</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头季收获是再生稻生产的关键环节，为降低碾压率以保证再生季有效面积，传统多以人工收获为主，可显著提高再生季有效穗数，增加再生季产量，但劳动强度大，用工成本高。随着经济社会发展，老龄化问题加剧，用工成本攀高，比较效益偏低，因此，对再生稻头季低损高效机械化收获技术与装备的需求迫切。</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常规水稻联合收获机机身重量大、履带宽、底盘离地间隙小、留茬高度控制难，造成对留茬的碾压率大、碾压程度重等多种形式的降低再生季有效面积，严重影响再生季产量，主要技术瓶颈如下：</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1.再生稻头季收获一般在8月上中旬，由于雨多天热、晒田时间不够等，田间排水不畅致使田面湿烂，对作业机械的田间通过性能要求高。</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再生稻蜡熟末期至水稻成熟度达到90%左右为最佳收获时间，此时茎秆仍为绿色，含水率高。同时水稻品种的再生能力强，其茎秆粗壮，对机械的收割、输送、脱粒清选性能要求较高，并适应大负荷、茎秆易缠绕的复杂作业条件。</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常规收获作业将秸秆等排出混合物无序抛撒在田间，覆盖在留茬上，将影响留茬的光、温、水等生长环境条件，降低腋芽的萌发率、减少有效穗数。为此，再生稻头季机收时秸秆等排出混合物需粉碎且尽量避免覆盖留茬。</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收获机械行走部件对留茬碾压的轻重程度决定碾压留茬的萌发效果，留茬的破坏程度较小时，仍可以二次生长，但再生季生育期将推迟，减小碾压面积及碾压次数、碾压强度可提高再生季产量。</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综上所述，提高再生季产量是再生稻绿色高产高效生产的关键，开发推广低损高效收获技术是解决再生稻种植区生产效益的重要途经。</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针对以上再生稻头季收获的技术现状和装备需求，湖南省农业装备研究所牵头组织科研、推广、制造等单位充分发挥再生稻种植农艺技术和机械化装备等优势，系统集成了路径规划、秸秆处理、留茬处理、田间管理等关键技术，有效降低了再生稻头季收获碾压程度、提高了再生季产量，解决了再生稻区产量低、效益不高的难题，为再生稻机械化作业开拓一条新的技术路线。</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再生稻头季低损高效机械化收获技术被评选为2023年湖南省农业主推技术，入选2023年中国农业农村重大新装备，申报发明专利3项，制定发布标准/规范3项，技术与装备已进入区域规模化推广应用阶段，取得良好的示范引领作用。</w:t>
      </w:r>
    </w:p>
    <w:p>
      <w:pPr>
        <w:snapToGrid w:val="0"/>
        <w:spacing w:line="600" w:lineRule="exact"/>
        <w:ind w:firstLine="643" w:firstLineChars="200"/>
        <w:jc w:val="left"/>
        <w:rPr>
          <w:rFonts w:ascii="楷体" w:hAnsi="楷体" w:eastAsia="楷体"/>
          <w:b/>
          <w:bCs/>
          <w:sz w:val="32"/>
          <w:szCs w:val="32"/>
        </w:rPr>
      </w:pPr>
      <w:r>
        <w:rPr>
          <w:rFonts w:ascii="楷体" w:hAnsi="楷体" w:eastAsia="楷体"/>
          <w:b/>
          <w:bCs/>
          <w:sz w:val="32"/>
          <w:szCs w:val="32"/>
        </w:rPr>
        <w:t>（二）</w:t>
      </w:r>
      <w:r>
        <w:rPr>
          <w:rFonts w:hint="eastAsia" w:eastAsia="楷体"/>
          <w:b/>
          <w:kern w:val="0"/>
          <w:sz w:val="32"/>
          <w:szCs w:val="32"/>
        </w:rPr>
        <w:t>技术示范推广情况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技术自2018年开始在湖南、湖北、浙江再生稻区试验示范推广，累计示范推广面积万亩以上。目前已在再生稻区的湖南省长沙（望城区、浏阳市、长沙县）、株洲（醴陵）、益阳（赫山、大通湖）、岳阳（汨罗、屈原区）、怀化（中方）、邵阳（邵东）、郴州(北湖区)，湖北省孝感、洪湖，河南省信阳等地区开展了试验示范推广，较好的解决了制约以上再生稻区机械化作业的问题，取得了良好的试验示范效果。</w:t>
      </w:r>
    </w:p>
    <w:p>
      <w:pPr>
        <w:snapToGrid w:val="0"/>
        <w:spacing w:line="600" w:lineRule="exact"/>
        <w:ind w:firstLine="643" w:firstLineChars="200"/>
        <w:jc w:val="left"/>
        <w:rPr>
          <w:rFonts w:ascii="楷体" w:hAnsi="楷体" w:eastAsia="楷体"/>
          <w:b/>
          <w:bCs/>
          <w:sz w:val="32"/>
          <w:szCs w:val="32"/>
        </w:rPr>
      </w:pPr>
      <w:r>
        <w:rPr>
          <w:rFonts w:ascii="楷体" w:hAnsi="楷体" w:eastAsia="楷体"/>
          <w:b/>
          <w:bCs/>
          <w:sz w:val="32"/>
          <w:szCs w:val="32"/>
        </w:rPr>
        <w:t>（三）提质增效情况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试验示范结果表明该技术的经济、社会和生态效益显著，具体为：</w:t>
      </w:r>
    </w:p>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1. 降低灾害风险。</w:t>
      </w:r>
      <w:r>
        <w:rPr>
          <w:rFonts w:hint="eastAsia" w:ascii="仿宋_GB2312" w:hAnsi="仿宋_GB2312" w:eastAsia="仿宋_GB2312" w:cs="仿宋_GB2312"/>
          <w:sz w:val="28"/>
          <w:szCs w:val="28"/>
        </w:rPr>
        <w:t>该技术适于成熟期头季再生稻抢收作业，有效减少了稻谷受雨水侵害的风险，颗粒归仓，保障了丰产稳产。</w:t>
      </w:r>
    </w:p>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 增产增收明显。</w:t>
      </w:r>
      <w:r>
        <w:rPr>
          <w:rFonts w:hint="eastAsia" w:ascii="仿宋_GB2312" w:hAnsi="仿宋_GB2312" w:eastAsia="仿宋_GB2312" w:cs="仿宋_GB2312"/>
          <w:sz w:val="28"/>
          <w:szCs w:val="28"/>
        </w:rPr>
        <w:t>该技术采用全喂入式再生稻低损高效收获机，实现低碾率、轻碾压程度、高效收获作业，其直行碾压率在25%以下，与常规水稻收获机相比降低约50%；最小离地间隙的大于300 mm，满足再生稻头季收割留茬高度的农艺要求，留茬高度合格率在90%以上。再生季增收稻谷70 kg/亩以上，增幅超过10%，增加纯效益120元/亩以上，社会经济生态效益显著。</w:t>
      </w:r>
    </w:p>
    <w:p>
      <w:pPr>
        <w:snapToGrid w:val="0"/>
        <w:spacing w:line="600" w:lineRule="exact"/>
        <w:ind w:firstLine="643" w:firstLineChars="200"/>
        <w:rPr>
          <w:rFonts w:eastAsia="楷体_GB2312"/>
          <w:b/>
          <w:i/>
          <w:sz w:val="28"/>
          <w:szCs w:val="28"/>
        </w:rPr>
      </w:pPr>
      <w:r>
        <w:rPr>
          <w:rFonts w:hint="eastAsia" w:eastAsia="楷体"/>
          <w:b/>
          <w:sz w:val="32"/>
          <w:szCs w:val="32"/>
        </w:rPr>
        <w:t>（四）技术获奖情况</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未申报科技奖励。</w:t>
      </w:r>
    </w:p>
    <w:p>
      <w:pPr>
        <w:snapToGrid w:val="0"/>
        <w:spacing w:line="600" w:lineRule="exact"/>
        <w:jc w:val="left"/>
        <w:rPr>
          <w:rFonts w:ascii="黑体" w:hAnsi="黑体" w:eastAsia="黑体"/>
          <w:bCs/>
          <w:sz w:val="32"/>
          <w:szCs w:val="32"/>
        </w:rPr>
      </w:pPr>
      <w:r>
        <w:rPr>
          <w:rFonts w:hint="eastAsia" w:ascii="黑体" w:hAnsi="黑体" w:eastAsia="黑体"/>
          <w:bCs/>
          <w:sz w:val="32"/>
          <w:szCs w:val="32"/>
        </w:rPr>
        <w:t xml:space="preserve">    </w:t>
      </w:r>
      <w:r>
        <w:rPr>
          <w:rFonts w:ascii="黑体" w:hAnsi="黑体" w:eastAsia="黑体"/>
          <w:bCs/>
          <w:sz w:val="32"/>
          <w:szCs w:val="32"/>
        </w:rPr>
        <w:t>二、技术要点</w:t>
      </w:r>
    </w:p>
    <w:p>
      <w:pPr>
        <w:snapToGrid w:val="0"/>
        <w:spacing w:line="600" w:lineRule="exact"/>
        <w:ind w:firstLine="645"/>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再生稻头季机械化收获技术采用宽幅收获割台、窄履带、轻机身、高离地间隙的全喂入式再生稻收获机对成熟期头季稻进行收获，与晒田管理、路径规划、秸秆处理、留茬处理、同步施肥、灌水处理等技术配套，实现高产高效。</w:t>
      </w:r>
    </w:p>
    <w:p>
      <w:pPr>
        <w:snapToGrid w:val="0"/>
        <w:spacing w:line="600" w:lineRule="exact"/>
        <w:ind w:firstLine="645"/>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1.晒田：</w:t>
      </w:r>
      <w:r>
        <w:rPr>
          <w:rFonts w:hint="eastAsia" w:ascii="仿宋_GB2312" w:hAnsi="仿宋_GB2312" w:eastAsia="仿宋_GB2312" w:cs="仿宋_GB2312"/>
          <w:bCs/>
          <w:sz w:val="28"/>
          <w:szCs w:val="28"/>
        </w:rPr>
        <w:t>再生稻头季收获前的水分管理是重要环节，田太湿，收获机作业后稻桩损失率高；田太干根系枯死，腋芽失去活力，萌发和成穗率低，影响再生季产量。一般在头季灌浆中后期重晒田至脚踩不下陷为宜。</w:t>
      </w:r>
    </w:p>
    <w:p>
      <w:pPr>
        <w:snapToGrid w:val="0"/>
        <w:jc w:val="center"/>
        <w:rPr>
          <w:rFonts w:eastAsiaTheme="minorEastAsia"/>
          <w:bCs/>
          <w:sz w:val="32"/>
          <w:szCs w:val="32"/>
        </w:rPr>
      </w:pPr>
      <w:r>
        <w:rPr>
          <w:rFonts w:eastAsiaTheme="minorEastAsia"/>
          <w:bCs/>
          <w:sz w:val="32"/>
          <w:szCs w:val="32"/>
        </w:rPr>
        <w:drawing>
          <wp:inline distT="0" distB="0" distL="0" distR="0">
            <wp:extent cx="1214755" cy="2070735"/>
            <wp:effectExtent l="0" t="0" r="4445" b="5715"/>
            <wp:docPr id="3276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9"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14755" cy="2070735"/>
                    </a:xfrm>
                    <a:prstGeom prst="rect">
                      <a:avLst/>
                    </a:prstGeom>
                    <a:noFill/>
                    <a:ln>
                      <a:noFill/>
                    </a:ln>
                  </pic:spPr>
                </pic:pic>
              </a:graphicData>
            </a:graphic>
          </wp:inline>
        </w:drawing>
      </w:r>
      <w:r>
        <w:rPr>
          <w:rFonts w:hint="eastAsia" w:eastAsiaTheme="minorEastAsia"/>
          <w:bCs/>
          <w:sz w:val="32"/>
          <w:szCs w:val="32"/>
        </w:rPr>
        <w:t xml:space="preserve"> </w:t>
      </w:r>
      <w:r>
        <w:rPr>
          <w:rFonts w:eastAsiaTheme="minorEastAsia"/>
          <w:bCs/>
          <w:sz w:val="32"/>
          <w:szCs w:val="32"/>
        </w:rPr>
        <w:t xml:space="preserve">  </w:t>
      </w:r>
      <w:r>
        <w:rPr>
          <w:rFonts w:eastAsiaTheme="minorEastAsia"/>
          <w:bCs/>
          <w:sz w:val="32"/>
          <w:szCs w:val="32"/>
        </w:rPr>
        <w:drawing>
          <wp:inline distT="0" distB="0" distL="0" distR="0">
            <wp:extent cx="1206500" cy="2075180"/>
            <wp:effectExtent l="0" t="0" r="12700" b="1270"/>
            <wp:docPr id="3277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06500" cy="2075180"/>
                    </a:xfrm>
                    <a:prstGeom prst="rect">
                      <a:avLst/>
                    </a:prstGeom>
                    <a:noFill/>
                    <a:ln>
                      <a:noFill/>
                    </a:ln>
                  </pic:spPr>
                </pic:pic>
              </a:graphicData>
            </a:graphic>
          </wp:inline>
        </w:drawing>
      </w:r>
    </w:p>
    <w:p>
      <w:pPr>
        <w:snapToGrid w:val="0"/>
        <w:ind w:firstLine="2209" w:firstLineChars="1000"/>
        <w:rPr>
          <w:rFonts w:eastAsia="楷体"/>
          <w:b/>
          <w:sz w:val="32"/>
          <w:szCs w:val="32"/>
        </w:rPr>
      </w:pPr>
      <w:r>
        <w:rPr>
          <w:rFonts w:eastAsia="楷体"/>
          <w:b/>
          <w:sz w:val="22"/>
          <w:szCs w:val="22"/>
        </w:rPr>
        <w:t xml:space="preserve">图1头季轻晒田        </w:t>
      </w:r>
      <w:r>
        <w:rPr>
          <w:rFonts w:hint="eastAsia" w:eastAsia="楷体"/>
          <w:b/>
          <w:sz w:val="22"/>
          <w:szCs w:val="22"/>
        </w:rPr>
        <w:t>图2</w:t>
      </w:r>
      <w:r>
        <w:rPr>
          <w:rFonts w:eastAsia="楷体"/>
          <w:b/>
          <w:sz w:val="22"/>
          <w:szCs w:val="22"/>
        </w:rPr>
        <w:t>头季重晒田</w:t>
      </w:r>
    </w:p>
    <w:p>
      <w:pPr>
        <w:snapToGrid w:val="0"/>
        <w:spacing w:line="60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2.路径规划：</w:t>
      </w:r>
      <w:r>
        <w:rPr>
          <w:rFonts w:hint="eastAsia" w:ascii="仿宋_GB2312" w:hAnsi="仿宋_GB2312" w:eastAsia="仿宋_GB2312" w:cs="仿宋_GB2312"/>
          <w:bCs/>
          <w:sz w:val="28"/>
          <w:szCs w:val="28"/>
        </w:rPr>
        <w:t>做好路径规划减少转弯与卸粮次数，降低综合碾压率、减少重复碾压面积。收获前采集割幅、轨距、粮仓容积等收获机参数，田块长短边参数，再生稻的谷草比、单位面积谷物质量、谷物密度等作物参数，规划仓满点、卸粮点位置及最优作业路线。</w:t>
      </w:r>
    </w:p>
    <w:p>
      <w:pPr>
        <w:snapToGrid w:val="0"/>
        <w:spacing w:line="60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3.留茬高度选择：</w:t>
      </w:r>
      <w:r>
        <w:rPr>
          <w:rFonts w:hint="eastAsia" w:ascii="仿宋_GB2312" w:hAnsi="仿宋_GB2312" w:eastAsia="仿宋_GB2312" w:cs="仿宋_GB2312"/>
          <w:bCs/>
          <w:sz w:val="28"/>
          <w:szCs w:val="28"/>
        </w:rPr>
        <w:t>再生稻头季机收获留茬高度遵循“留二、保三、争四芽”的原则，即留住母茎上倒数第二腋芽，保住倒数第三芽，在此基础上争取第四节芽成穗，再加上50～60 mm保护段。目前长江中下游地区头季机收再生稻留茬高度一般在250～400 mm。</w:t>
      </w:r>
    </w:p>
    <w:p>
      <w:pPr>
        <w:snapToGrid w:val="0"/>
        <w:jc w:val="center"/>
        <w:rPr>
          <w:rFonts w:eastAsia="楷体"/>
          <w:b/>
          <w:sz w:val="22"/>
          <w:szCs w:val="22"/>
        </w:rPr>
      </w:pPr>
      <w:r>
        <w:rPr>
          <w:rFonts w:eastAsia="楷体"/>
          <w:b/>
          <w:sz w:val="22"/>
          <w:szCs w:val="22"/>
        </w:rPr>
        <w:t xml:space="preserve">     </w:t>
      </w:r>
      <w:r>
        <w:drawing>
          <wp:inline distT="0" distB="0" distL="114300" distR="114300">
            <wp:extent cx="1524000" cy="2219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524000" cy="2219325"/>
                    </a:xfrm>
                    <a:prstGeom prst="rect">
                      <a:avLst/>
                    </a:prstGeom>
                    <a:noFill/>
                    <a:ln>
                      <a:noFill/>
                    </a:ln>
                  </pic:spPr>
                </pic:pic>
              </a:graphicData>
            </a:graphic>
          </wp:inline>
        </w:drawing>
      </w:r>
      <w:r>
        <w:rPr>
          <w:rFonts w:hint="eastAsia" w:eastAsia="楷体"/>
          <w:b/>
          <w:sz w:val="22"/>
          <w:szCs w:val="22"/>
        </w:rPr>
        <w:t xml:space="preserve"> </w:t>
      </w:r>
      <w:r>
        <w:rPr>
          <w:rFonts w:eastAsia="楷体"/>
          <w:b/>
          <w:sz w:val="22"/>
          <w:szCs w:val="22"/>
        </w:rPr>
        <w:t xml:space="preserve">     </w:t>
      </w:r>
      <w:r>
        <w:rPr>
          <w:color w:val="000000"/>
          <w:sz w:val="24"/>
        </w:rPr>
        <w:drawing>
          <wp:inline distT="0" distB="0" distL="0" distR="0">
            <wp:extent cx="2134870" cy="22288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rot="10800000">
                      <a:off x="0" y="0"/>
                      <a:ext cx="2141339" cy="2235089"/>
                    </a:xfrm>
                    <a:prstGeom prst="rect">
                      <a:avLst/>
                    </a:prstGeom>
                  </pic:spPr>
                </pic:pic>
              </a:graphicData>
            </a:graphic>
          </wp:inline>
        </w:drawing>
      </w:r>
    </w:p>
    <w:p>
      <w:pPr>
        <w:snapToGrid w:val="0"/>
        <w:jc w:val="center"/>
        <w:rPr>
          <w:rFonts w:eastAsia="楷体"/>
          <w:b/>
          <w:sz w:val="22"/>
          <w:szCs w:val="22"/>
        </w:rPr>
      </w:pPr>
      <w:r>
        <w:rPr>
          <w:rFonts w:hint="eastAsia" w:eastAsia="楷体"/>
          <w:b/>
          <w:sz w:val="22"/>
          <w:szCs w:val="22"/>
        </w:rPr>
        <w:t xml:space="preserve"> </w:t>
      </w:r>
      <w:r>
        <w:rPr>
          <w:rFonts w:eastAsia="楷体"/>
          <w:b/>
          <w:sz w:val="22"/>
          <w:szCs w:val="22"/>
        </w:rPr>
        <w:t xml:space="preserve">  </w:t>
      </w:r>
      <w:r>
        <w:rPr>
          <w:rFonts w:hint="eastAsia" w:eastAsia="楷体"/>
          <w:b/>
          <w:sz w:val="22"/>
          <w:szCs w:val="22"/>
        </w:rPr>
        <w:t>图3</w:t>
      </w:r>
      <w:r>
        <w:rPr>
          <w:rFonts w:eastAsia="楷体"/>
          <w:b/>
          <w:sz w:val="22"/>
          <w:szCs w:val="22"/>
        </w:rPr>
        <w:t xml:space="preserve"> </w:t>
      </w:r>
      <w:r>
        <w:rPr>
          <w:rFonts w:hint="eastAsia" w:eastAsia="楷体"/>
          <w:b/>
          <w:color w:val="000000"/>
          <w:szCs w:val="21"/>
        </w:rPr>
        <w:t xml:space="preserve">再生稻头季收获留茬高度 </w:t>
      </w:r>
      <w:r>
        <w:rPr>
          <w:rFonts w:eastAsia="楷体"/>
          <w:b/>
          <w:color w:val="000000"/>
          <w:szCs w:val="21"/>
        </w:rPr>
        <w:t xml:space="preserve">   </w:t>
      </w:r>
      <w:r>
        <w:rPr>
          <w:rFonts w:eastAsia="楷体"/>
          <w:b/>
          <w:sz w:val="22"/>
          <w:szCs w:val="22"/>
        </w:rPr>
        <w:t>图4全喂入式</w:t>
      </w:r>
      <w:r>
        <w:rPr>
          <w:rFonts w:hint="eastAsia" w:eastAsia="楷体"/>
          <w:b/>
          <w:sz w:val="22"/>
          <w:szCs w:val="22"/>
        </w:rPr>
        <w:t>再生稻</w:t>
      </w:r>
      <w:r>
        <w:rPr>
          <w:rFonts w:eastAsia="楷体"/>
          <w:b/>
          <w:sz w:val="22"/>
          <w:szCs w:val="22"/>
        </w:rPr>
        <w:t>收获机收获</w:t>
      </w:r>
    </w:p>
    <w:p>
      <w:pPr>
        <w:snapToGrid w:val="0"/>
        <w:spacing w:line="60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4.秸秆处理：</w:t>
      </w:r>
      <w:r>
        <w:rPr>
          <w:rFonts w:hint="eastAsia" w:ascii="仿宋_GB2312" w:hAnsi="仿宋_GB2312" w:eastAsia="仿宋_GB2312" w:cs="仿宋_GB2312"/>
          <w:sz w:val="28"/>
          <w:szCs w:val="28"/>
        </w:rPr>
        <w:t>根据再生稻品种、收获时间及其再生季分蘖生长</w:t>
      </w:r>
      <w:r>
        <w:rPr>
          <w:rFonts w:hint="eastAsia" w:ascii="仿宋_GB2312" w:hAnsi="仿宋_GB2312" w:eastAsia="仿宋_GB2312" w:cs="仿宋_GB2312"/>
          <w:bCs/>
          <w:sz w:val="28"/>
          <w:szCs w:val="28"/>
        </w:rPr>
        <w:t>情况</w:t>
      </w:r>
      <w:r>
        <w:rPr>
          <w:rFonts w:hint="eastAsia" w:ascii="仿宋_GB2312" w:hAnsi="仿宋_GB2312" w:eastAsia="仿宋_GB2312" w:cs="仿宋_GB2312"/>
          <w:sz w:val="28"/>
          <w:szCs w:val="28"/>
        </w:rPr>
        <w:t>采用粉碎后定向抛撒或粉碎后均匀抛撒的秸秆处理方式。收获机配备秸秆处理装置，对于碾压后稻桩恢复能力强的品种采用粉碎均匀抛撒方式，对碾压后稻桩恢复能力差的品种，采用粉碎定向抛撒方式。</w:t>
      </w:r>
    </w:p>
    <w:p>
      <w:pPr>
        <w:snapToGrid w:val="0"/>
        <w:jc w:val="center"/>
        <w:rPr>
          <w:rFonts w:eastAsia="楷体"/>
          <w:b/>
          <w:sz w:val="22"/>
          <w:szCs w:val="22"/>
        </w:rPr>
      </w:pPr>
      <w:r>
        <w:rPr>
          <w:color w:val="000000"/>
          <w:szCs w:val="21"/>
        </w:rPr>
        <w:drawing>
          <wp:inline distT="0" distB="0" distL="0" distR="0">
            <wp:extent cx="2411730" cy="1481455"/>
            <wp:effectExtent l="0" t="0" r="7620" b="4445"/>
            <wp:docPr id="57348" name="图片 1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8" name="图片 154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11730" cy="1481455"/>
                    </a:xfrm>
                    <a:prstGeom prst="rect">
                      <a:avLst/>
                    </a:prstGeom>
                    <a:noFill/>
                    <a:ln>
                      <a:noFill/>
                    </a:ln>
                  </pic:spPr>
                </pic:pic>
              </a:graphicData>
            </a:graphic>
          </wp:inline>
        </w:drawing>
      </w:r>
      <w:r>
        <w:rPr>
          <w:rFonts w:hint="eastAsia" w:eastAsia="楷体"/>
          <w:b/>
          <w:sz w:val="22"/>
          <w:szCs w:val="22"/>
        </w:rPr>
        <w:t xml:space="preserve"> </w:t>
      </w:r>
      <w:r>
        <w:rPr>
          <w:color w:val="000000"/>
          <w:szCs w:val="21"/>
        </w:rPr>
        <w:drawing>
          <wp:inline distT="0" distB="0" distL="0" distR="0">
            <wp:extent cx="2338070" cy="1464945"/>
            <wp:effectExtent l="0" t="0" r="5080" b="1905"/>
            <wp:docPr id="57349" name="图片 1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9" name="图片 15457"/>
                    <pic:cNvPicPr>
                      <a:picLocks noChangeAspect="1" noChangeArrowheads="1"/>
                    </pic:cNvPicPr>
                  </pic:nvPicPr>
                  <pic:blipFill>
                    <a:blip r:embed="rId10" cstate="print">
                      <a:extLst>
                        <a:ext uri="{28A0092B-C50C-407E-A947-70E740481C1C}">
                          <a14:useLocalDpi xmlns:a14="http://schemas.microsoft.com/office/drawing/2010/main" val="0"/>
                        </a:ext>
                      </a:extLst>
                    </a:blip>
                    <a:srcRect t="2713" b="24954"/>
                    <a:stretch>
                      <a:fillRect/>
                    </a:stretch>
                  </pic:blipFill>
                  <pic:spPr>
                    <a:xfrm>
                      <a:off x="0" y="0"/>
                      <a:ext cx="2338070" cy="1464945"/>
                    </a:xfrm>
                    <a:prstGeom prst="rect">
                      <a:avLst/>
                    </a:prstGeom>
                    <a:noFill/>
                    <a:ln>
                      <a:noFill/>
                    </a:ln>
                  </pic:spPr>
                </pic:pic>
              </a:graphicData>
            </a:graphic>
          </wp:inline>
        </w:drawing>
      </w:r>
    </w:p>
    <w:p>
      <w:pPr>
        <w:snapToGrid w:val="0"/>
        <w:jc w:val="center"/>
        <w:rPr>
          <w:rFonts w:eastAsia="楷体"/>
          <w:b/>
          <w:sz w:val="22"/>
          <w:szCs w:val="22"/>
        </w:rPr>
      </w:pPr>
      <w:r>
        <w:rPr>
          <w:rFonts w:eastAsia="楷体"/>
          <w:b/>
          <w:sz w:val="22"/>
          <w:szCs w:val="22"/>
        </w:rPr>
        <w:t>图5秸秆粉碎定向抛撒</w:t>
      </w:r>
      <w:r>
        <w:rPr>
          <w:rFonts w:hint="eastAsia" w:eastAsia="楷体"/>
          <w:b/>
          <w:sz w:val="22"/>
          <w:szCs w:val="22"/>
        </w:rPr>
        <w:t xml:space="preserve"> </w:t>
      </w:r>
      <w:r>
        <w:rPr>
          <w:rFonts w:eastAsia="楷体"/>
          <w:b/>
          <w:sz w:val="22"/>
          <w:szCs w:val="22"/>
        </w:rPr>
        <w:t xml:space="preserve">        </w:t>
      </w:r>
      <w:r>
        <w:rPr>
          <w:rFonts w:hint="eastAsia" w:eastAsia="楷体"/>
          <w:b/>
          <w:sz w:val="22"/>
          <w:szCs w:val="22"/>
        </w:rPr>
        <w:t>图6</w:t>
      </w:r>
      <w:r>
        <w:rPr>
          <w:rFonts w:eastAsia="楷体"/>
          <w:b/>
          <w:sz w:val="22"/>
          <w:szCs w:val="22"/>
        </w:rPr>
        <w:t>秸秆粉碎均匀抛撒</w:t>
      </w:r>
    </w:p>
    <w:p>
      <w:pPr>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5.留茬处理：</w:t>
      </w:r>
      <w:r>
        <w:rPr>
          <w:rFonts w:hint="eastAsia" w:ascii="仿宋_GB2312" w:hAnsi="仿宋_GB2312" w:eastAsia="仿宋_GB2312" w:cs="仿宋_GB2312"/>
          <w:bCs/>
          <w:sz w:val="28"/>
          <w:szCs w:val="28"/>
        </w:rPr>
        <w:t>扶正后的稻茬成活率提高，对机收后秸秆粉碎均匀抛撒的田块，收获机应装配倒茬扶正装置。</w:t>
      </w:r>
    </w:p>
    <w:p>
      <w:pPr>
        <w:snapToGrid w:val="0"/>
        <w:spacing w:line="600" w:lineRule="exact"/>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6.田间管理：</w:t>
      </w:r>
      <w:r>
        <w:rPr>
          <w:rFonts w:hint="eastAsia" w:ascii="仿宋_GB2312" w:hAnsi="仿宋_GB2312" w:eastAsia="仿宋_GB2312" w:cs="仿宋_GB2312"/>
          <w:bCs/>
          <w:sz w:val="28"/>
          <w:szCs w:val="28"/>
        </w:rPr>
        <w:t>完成再生稻头季机械化收获后适时</w:t>
      </w:r>
      <w:r>
        <w:rPr>
          <w:rFonts w:hint="eastAsia" w:ascii="仿宋_GB2312" w:hAnsi="仿宋_GB2312" w:eastAsia="仿宋_GB2312" w:cs="仿宋_GB2312"/>
          <w:sz w:val="28"/>
          <w:szCs w:val="28"/>
        </w:rPr>
        <w:t>灌水，保证再生芽生长对水份的需求并防止高温伏旱死苗。提苗肥于收获后2 d内施用，每667 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施尿素10～15 kg。再生季病虫草害的发生率较低，无需主动防治，但要注意纹枯病、稻飞虱、条纹叶枯病、白叶枯病、穗颈稻瘟病、稻曲病、二化螟、稻蝗、鼠害等的发生。</w:t>
      </w:r>
    </w:p>
    <w:p>
      <w:pPr>
        <w:snapToGrid w:val="0"/>
        <w:spacing w:line="600" w:lineRule="exact"/>
        <w:ind w:firstLine="645"/>
        <w:jc w:val="left"/>
        <w:rPr>
          <w:rFonts w:eastAsia="黑体"/>
          <w:kern w:val="0"/>
          <w:sz w:val="32"/>
          <w:szCs w:val="32"/>
        </w:rPr>
      </w:pPr>
      <w:r>
        <w:rPr>
          <w:rFonts w:hint="eastAsia" w:eastAsia="黑体"/>
          <w:kern w:val="0"/>
          <w:sz w:val="32"/>
          <w:szCs w:val="32"/>
        </w:rPr>
        <w:t>三、适宜区域</w:t>
      </w:r>
    </w:p>
    <w:p>
      <w:pPr>
        <w:snapToGrid w:val="0"/>
        <w:spacing w:line="60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长江中下游再生稻种植区。</w:t>
      </w:r>
    </w:p>
    <w:p>
      <w:pPr>
        <w:snapToGrid w:val="0"/>
        <w:spacing w:line="600" w:lineRule="exact"/>
        <w:ind w:firstLine="645"/>
        <w:jc w:val="left"/>
        <w:rPr>
          <w:rFonts w:eastAsia="黑体"/>
          <w:kern w:val="0"/>
          <w:sz w:val="32"/>
          <w:szCs w:val="32"/>
        </w:rPr>
      </w:pPr>
      <w:r>
        <w:rPr>
          <w:rFonts w:hint="eastAsia" w:eastAsia="黑体"/>
          <w:kern w:val="0"/>
          <w:sz w:val="32"/>
          <w:szCs w:val="32"/>
        </w:rPr>
        <w:t>四、收获机机具选型</w:t>
      </w:r>
    </w:p>
    <w:p>
      <w:pPr>
        <w:snapToGrid w:val="0"/>
        <w:spacing w:line="60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湖南省农业装备研究所与湖南龙舟农机股份有限公司根据再生稻生产的农艺要求和装备需求研发两款再生稻低损高效收获机械4LZ-8.0ZS、4LZ-4.0ZS可供选择，收获机有关参数如下：</w:t>
      </w:r>
    </w:p>
    <w:p>
      <w:pPr>
        <w:snapToGrid w:val="0"/>
        <w:spacing w:line="600" w:lineRule="exact"/>
        <w:ind w:firstLine="645"/>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1、4LZ—8.0 ZS参数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685"/>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685" w:type="dxa"/>
            <w:vAlign w:val="center"/>
          </w:tcPr>
          <w:p>
            <w:pPr>
              <w:adjustRightIn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3736" w:type="dxa"/>
            <w:vAlign w:val="center"/>
          </w:tcPr>
          <w:p>
            <w:pPr>
              <w:adjustRightIn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结构型式</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履带自走式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喂入方式</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全喂入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喂入量设计值（kg/s）</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发动机标定功率（kW）</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工作幅宽（mm）</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履带宽度（mm）</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卸粮方式</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自动卸粮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损失率（%）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破碎率（%）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割茬高度合格率（%）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最小离地间隙（mm）</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平均接地压力（kpa）</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直行碾压率（%）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作业效率（亩/小时）</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粮箱容积设计值（m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秸秆粉碎长度合格率（%）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秸秆抛撒不均匀度（%）</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r>
    </w:tbl>
    <w:p>
      <w:pPr>
        <w:snapToGrid w:val="0"/>
        <w:spacing w:line="600" w:lineRule="exact"/>
        <w:ind w:firstLine="645"/>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2、4LZ—4.0 ZS参数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685"/>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685" w:type="dxa"/>
            <w:vAlign w:val="center"/>
          </w:tcPr>
          <w:p>
            <w:pPr>
              <w:adjustRightIn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w:t>
            </w:r>
          </w:p>
        </w:tc>
        <w:tc>
          <w:tcPr>
            <w:tcW w:w="3736" w:type="dxa"/>
            <w:vAlign w:val="center"/>
          </w:tcPr>
          <w:p>
            <w:pPr>
              <w:adjustRightInd w:val="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结构型式</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履带自走式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喂入方式</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全喂入</w:t>
            </w:r>
          </w:p>
        </w:tc>
      </w:tr>
      <w:tr>
        <w:tblPrEx>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喂入量设计值（kg/s）</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发动机标定功率（kW）</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工作幅宽（mm）</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履带宽度（mm）</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卸粮方式</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自动卸粮</w:t>
            </w:r>
          </w:p>
        </w:tc>
      </w:tr>
      <w:tr>
        <w:tblPrEx>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损失率（%）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破碎率（%）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含杂率（%）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割茬高度合格率（%）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最小离地间隙（mm）</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平均接地压力（kpa）</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直行碾压率（%）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作业效率（亩/小时）</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粮箱容积设计值（m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1.0m</w:t>
            </w:r>
            <w:r>
              <w:rPr>
                <w:rFonts w:hint="eastAsia" w:ascii="仿宋_GB2312" w:hAnsi="仿宋_GB2312" w:eastAsia="仿宋_GB2312" w:cs="仿宋_GB2312"/>
                <w:sz w:val="28"/>
                <w:szCs w:val="2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秸秆粉碎长度合格率（%）</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01"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3685" w:type="dxa"/>
            <w:vAlign w:val="center"/>
          </w:tcPr>
          <w:p>
            <w:pPr>
              <w:adjustRightIn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秸秆抛撒不均匀度</w:t>
            </w:r>
          </w:p>
        </w:tc>
        <w:tc>
          <w:tcPr>
            <w:tcW w:w="3736" w:type="dxa"/>
            <w:vAlign w:val="center"/>
          </w:tcPr>
          <w:p>
            <w:pPr>
              <w:adjustRightIn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r>
    </w:tbl>
    <w:p>
      <w:pPr>
        <w:snapToGrid w:val="0"/>
        <w:ind w:firstLine="645"/>
        <w:jc w:val="left"/>
        <w:rPr>
          <w:rFonts w:eastAsia="黑体"/>
          <w:kern w:val="0"/>
          <w:sz w:val="32"/>
          <w:szCs w:val="32"/>
        </w:rPr>
      </w:pPr>
      <w:r>
        <w:rPr>
          <w:rFonts w:hint="eastAsia" w:eastAsia="黑体"/>
          <w:kern w:val="0"/>
          <w:sz w:val="32"/>
          <w:szCs w:val="32"/>
        </w:rPr>
        <w:t>五、注意事项</w:t>
      </w:r>
    </w:p>
    <w:p>
      <w:pPr>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作业前，机组人员应进行相应的培训，使用前应充分了解本机的性能和使用方法，熟悉驾驶技术，以便充分发挥机器的效能，同时要注意人身安全。</w:t>
      </w:r>
    </w:p>
    <w:p>
      <w:pPr>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驾驶员要熟悉机具性能，按预定作业路线行走，尽量保证机具直线行驶。机具底盘参数与再生稻种植株行距匹配的，应对行行走，最大程度降低碾压面积。</w:t>
      </w:r>
    </w:p>
    <w:p>
      <w:pPr>
        <w:snapToGrid w:val="0"/>
        <w:spacing w:line="560" w:lineRule="exact"/>
        <w:ind w:firstLine="640" w:firstLineChars="200"/>
        <w:rPr>
          <w:b/>
          <w:bCs/>
          <w:sz w:val="32"/>
          <w:szCs w:val="32"/>
        </w:rPr>
      </w:pPr>
      <w:r>
        <w:rPr>
          <w:rFonts w:hint="eastAsia" w:eastAsia="黑体"/>
          <w:sz w:val="32"/>
          <w:szCs w:val="32"/>
        </w:rPr>
        <w:t>六、技术依托单位</w:t>
      </w:r>
    </w:p>
    <w:p>
      <w:pPr>
        <w:adjustRightInd w:val="0"/>
        <w:snapToGrid w:val="0"/>
        <w:spacing w:line="60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湖南省农业装备研究所</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联系地址：湖南省长沙市芙蓉区东湖路120号</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邮政编码：410125</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联系人：李明、李辉、周文</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联系电话：0731-84628475</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电子邮箱：liming@hunaas.cn</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农业农村部农业机械化总站</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联系地址：北京市朝阳区东三环南路96号农丰大厦</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邮政编码：100122</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人：王超、王明磊、徐峰</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联系电话：010-59199189</w:t>
      </w:r>
    </w:p>
    <w:p>
      <w:pPr>
        <w:adjustRightInd w:val="0"/>
        <w:snapToGrid w:val="0"/>
        <w:spacing w:line="600" w:lineRule="exact"/>
        <w:ind w:firstLine="64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sz w:val="28"/>
          <w:szCs w:val="28"/>
        </w:rPr>
        <w:t>电子邮箱：</w:t>
      </w:r>
      <w:r>
        <w:rPr>
          <w:rFonts w:hint="eastAsia" w:ascii="仿宋_GB2312" w:hAnsi="仿宋_GB2312" w:eastAsia="仿宋_GB2312" w:cs="仿宋_GB2312"/>
          <w:color w:val="auto"/>
          <w:sz w:val="28"/>
          <w:szCs w:val="28"/>
          <w:u w:val="none"/>
        </w:rPr>
        <w:fldChar w:fldCharType="begin"/>
      </w:r>
      <w:r>
        <w:rPr>
          <w:rFonts w:hint="eastAsia" w:ascii="仿宋_GB2312" w:hAnsi="仿宋_GB2312" w:eastAsia="仿宋_GB2312" w:cs="仿宋_GB2312"/>
          <w:color w:val="auto"/>
          <w:sz w:val="28"/>
          <w:szCs w:val="28"/>
          <w:u w:val="none"/>
        </w:rPr>
        <w:instrText xml:space="preserve"> HYPERLINK "mailto:moralzjxc@163.com" </w:instrText>
      </w:r>
      <w:r>
        <w:rPr>
          <w:rFonts w:hint="eastAsia" w:ascii="仿宋_GB2312" w:hAnsi="仿宋_GB2312" w:eastAsia="仿宋_GB2312" w:cs="仿宋_GB2312"/>
          <w:color w:val="auto"/>
          <w:sz w:val="28"/>
          <w:szCs w:val="28"/>
          <w:u w:val="none"/>
        </w:rPr>
        <w:fldChar w:fldCharType="separate"/>
      </w:r>
      <w:r>
        <w:rPr>
          <w:rStyle w:val="10"/>
          <w:rFonts w:hint="eastAsia" w:ascii="仿宋_GB2312" w:hAnsi="仿宋_GB2312" w:eastAsia="仿宋_GB2312" w:cs="仿宋_GB2312"/>
          <w:color w:val="auto"/>
          <w:sz w:val="28"/>
          <w:szCs w:val="28"/>
          <w:u w:val="none"/>
        </w:rPr>
        <w:t>moralzjxc@163.com</w:t>
      </w:r>
      <w:r>
        <w:rPr>
          <w:rStyle w:val="10"/>
          <w:rFonts w:hint="eastAsia" w:ascii="仿宋_GB2312" w:hAnsi="仿宋_GB2312" w:eastAsia="仿宋_GB2312" w:cs="仿宋_GB2312"/>
          <w:color w:val="auto"/>
          <w:sz w:val="28"/>
          <w:szCs w:val="28"/>
          <w:u w:val="none"/>
        </w:rPr>
        <w:fldChar w:fldCharType="end"/>
      </w:r>
    </w:p>
    <w:p>
      <w:pPr>
        <w:adjustRightInd w:val="0"/>
        <w:snapToGrid w:val="0"/>
        <w:spacing w:line="600" w:lineRule="exact"/>
        <w:ind w:firstLine="64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华中农业大学工学院</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联系地址：湖北省武汉市洪山区狮子山街1号</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邮政编码：430070</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人：张国忠、彭少兵、付建伟</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联系电话：18672783365，18602713130，15071480339</w:t>
      </w:r>
    </w:p>
    <w:p>
      <w:pPr>
        <w:adjustRightInd w:val="0"/>
        <w:snapToGrid w:val="0"/>
        <w:spacing w:line="600" w:lineRule="exact"/>
        <w:ind w:firstLine="640"/>
        <w:rPr>
          <w:rFonts w:hint="eastAsia" w:ascii="仿宋_GB2312" w:hAnsi="仿宋_GB2312" w:eastAsia="仿宋_GB2312" w:cs="仿宋_GB2312"/>
          <w:b/>
          <w:color w:val="auto"/>
          <w:sz w:val="28"/>
          <w:szCs w:val="28"/>
          <w:u w:val="none"/>
        </w:rPr>
      </w:pPr>
      <w:r>
        <w:rPr>
          <w:rFonts w:hint="eastAsia" w:ascii="仿宋_GB2312" w:hAnsi="仿宋_GB2312" w:eastAsia="仿宋_GB2312" w:cs="仿宋_GB2312"/>
          <w:sz w:val="28"/>
          <w:szCs w:val="28"/>
        </w:rPr>
        <w:t>电子邮箱：</w:t>
      </w:r>
      <w:r>
        <w:rPr>
          <w:rFonts w:hint="eastAsia" w:ascii="仿宋_GB2312" w:hAnsi="仿宋_GB2312" w:eastAsia="仿宋_GB2312" w:cs="仿宋_GB2312"/>
          <w:color w:val="auto"/>
          <w:sz w:val="28"/>
          <w:szCs w:val="28"/>
          <w:u w:val="none"/>
        </w:rPr>
        <w:fldChar w:fldCharType="begin"/>
      </w:r>
      <w:r>
        <w:rPr>
          <w:rFonts w:hint="eastAsia" w:ascii="仿宋_GB2312" w:hAnsi="仿宋_GB2312" w:eastAsia="仿宋_GB2312" w:cs="仿宋_GB2312"/>
          <w:color w:val="auto"/>
          <w:sz w:val="28"/>
          <w:szCs w:val="28"/>
          <w:u w:val="none"/>
        </w:rPr>
        <w:instrText xml:space="preserve"> HYPERLINK "mailto:zhanggz@mail.hzau.edu.cn" </w:instrText>
      </w:r>
      <w:r>
        <w:rPr>
          <w:rFonts w:hint="eastAsia" w:ascii="仿宋_GB2312" w:hAnsi="仿宋_GB2312" w:eastAsia="仿宋_GB2312" w:cs="仿宋_GB2312"/>
          <w:color w:val="auto"/>
          <w:sz w:val="28"/>
          <w:szCs w:val="28"/>
          <w:u w:val="none"/>
        </w:rPr>
        <w:fldChar w:fldCharType="separate"/>
      </w:r>
      <w:r>
        <w:rPr>
          <w:rStyle w:val="10"/>
          <w:rFonts w:hint="eastAsia" w:ascii="仿宋_GB2312" w:hAnsi="仿宋_GB2312" w:eastAsia="仿宋_GB2312" w:cs="仿宋_GB2312"/>
          <w:color w:val="auto"/>
          <w:sz w:val="28"/>
          <w:szCs w:val="28"/>
          <w:u w:val="none"/>
        </w:rPr>
        <w:t>zhanggz@mail.hzau.edu.cn</w:t>
      </w:r>
      <w:r>
        <w:rPr>
          <w:rStyle w:val="10"/>
          <w:rFonts w:hint="eastAsia" w:ascii="仿宋_GB2312" w:hAnsi="仿宋_GB2312" w:eastAsia="仿宋_GB2312" w:cs="仿宋_GB2312"/>
          <w:color w:val="auto"/>
          <w:sz w:val="28"/>
          <w:szCs w:val="28"/>
          <w:u w:val="none"/>
        </w:rPr>
        <w:fldChar w:fldCharType="end"/>
      </w:r>
    </w:p>
    <w:p>
      <w:pPr>
        <w:adjustRightInd w:val="0"/>
        <w:snapToGrid w:val="0"/>
        <w:spacing w:line="60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4.</w:t>
      </w:r>
      <w:r>
        <w:rPr>
          <w:rFonts w:hint="eastAsia" w:ascii="仿宋_GB2312" w:hAnsi="仿宋_GB2312" w:eastAsia="仿宋_GB2312" w:cs="仿宋_GB2312"/>
          <w:b/>
          <w:sz w:val="28"/>
          <w:szCs w:val="28"/>
        </w:rPr>
        <w:t>湖南龙舟农机股份有限公司</w:t>
      </w:r>
    </w:p>
    <w:p>
      <w:pPr>
        <w:numPr>
          <w:ilvl w:val="255"/>
          <w:numId w:val="0"/>
        </w:num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联系地址：湖南汨罗循环经济产业园区（汨罗市新市镇）</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邮政编码：414413</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人：宋思明</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联系电话：13973021450</w:t>
      </w:r>
    </w:p>
    <w:p>
      <w:pPr>
        <w:adjustRightInd w:val="0"/>
        <w:snapToGrid w:val="0"/>
        <w:spacing w:line="60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电子邮箱：476000283@qq.com</w:t>
      </w:r>
    </w:p>
    <w:sectPr>
      <w:footerReference r:id="rId3" w:type="even"/>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DVkZThmZTk3ZmU0NGVmMjI4ZjFjNDU0MmIxYjM0N2YifQ=="/>
  </w:docVars>
  <w:rsids>
    <w:rsidRoot w:val="00F414F8"/>
    <w:rsid w:val="00003938"/>
    <w:rsid w:val="00004934"/>
    <w:rsid w:val="00004DA9"/>
    <w:rsid w:val="000152B8"/>
    <w:rsid w:val="00017167"/>
    <w:rsid w:val="00023927"/>
    <w:rsid w:val="000266BD"/>
    <w:rsid w:val="00027F4B"/>
    <w:rsid w:val="00030F73"/>
    <w:rsid w:val="000510A7"/>
    <w:rsid w:val="00061944"/>
    <w:rsid w:val="0006686D"/>
    <w:rsid w:val="00080783"/>
    <w:rsid w:val="000B1734"/>
    <w:rsid w:val="000B51AB"/>
    <w:rsid w:val="000C0AC5"/>
    <w:rsid w:val="000F18D8"/>
    <w:rsid w:val="000F5F3C"/>
    <w:rsid w:val="000F75DD"/>
    <w:rsid w:val="00103089"/>
    <w:rsid w:val="00113A11"/>
    <w:rsid w:val="00120232"/>
    <w:rsid w:val="00120487"/>
    <w:rsid w:val="001209D9"/>
    <w:rsid w:val="001351E7"/>
    <w:rsid w:val="00135559"/>
    <w:rsid w:val="0013622A"/>
    <w:rsid w:val="00156F5A"/>
    <w:rsid w:val="00163D84"/>
    <w:rsid w:val="0017015E"/>
    <w:rsid w:val="00195D54"/>
    <w:rsid w:val="001A3812"/>
    <w:rsid w:val="001A4145"/>
    <w:rsid w:val="001A6C29"/>
    <w:rsid w:val="001B135E"/>
    <w:rsid w:val="001C6369"/>
    <w:rsid w:val="001C7A53"/>
    <w:rsid w:val="001D039C"/>
    <w:rsid w:val="001D232C"/>
    <w:rsid w:val="001D329D"/>
    <w:rsid w:val="001E23C3"/>
    <w:rsid w:val="0020343F"/>
    <w:rsid w:val="00217798"/>
    <w:rsid w:val="00233A02"/>
    <w:rsid w:val="00235BB9"/>
    <w:rsid w:val="00237E9C"/>
    <w:rsid w:val="002421D2"/>
    <w:rsid w:val="00257E25"/>
    <w:rsid w:val="00257E3B"/>
    <w:rsid w:val="00257E59"/>
    <w:rsid w:val="0027341D"/>
    <w:rsid w:val="00273A89"/>
    <w:rsid w:val="00276520"/>
    <w:rsid w:val="00286CD4"/>
    <w:rsid w:val="00292C02"/>
    <w:rsid w:val="00295DE3"/>
    <w:rsid w:val="002B3B32"/>
    <w:rsid w:val="002E3F7C"/>
    <w:rsid w:val="002E5BEC"/>
    <w:rsid w:val="002F421E"/>
    <w:rsid w:val="002F5A31"/>
    <w:rsid w:val="003070A9"/>
    <w:rsid w:val="00312DFD"/>
    <w:rsid w:val="00336290"/>
    <w:rsid w:val="003455A4"/>
    <w:rsid w:val="00354C16"/>
    <w:rsid w:val="00360321"/>
    <w:rsid w:val="003604DD"/>
    <w:rsid w:val="00394FFB"/>
    <w:rsid w:val="003A0F79"/>
    <w:rsid w:val="003A3896"/>
    <w:rsid w:val="003B3BA8"/>
    <w:rsid w:val="003B71AB"/>
    <w:rsid w:val="003C3DB5"/>
    <w:rsid w:val="003D061D"/>
    <w:rsid w:val="003E26D4"/>
    <w:rsid w:val="003E7323"/>
    <w:rsid w:val="003F2A17"/>
    <w:rsid w:val="0040775D"/>
    <w:rsid w:val="0041471B"/>
    <w:rsid w:val="0041622C"/>
    <w:rsid w:val="004164BA"/>
    <w:rsid w:val="00421078"/>
    <w:rsid w:val="004329F9"/>
    <w:rsid w:val="00435079"/>
    <w:rsid w:val="004401C6"/>
    <w:rsid w:val="004418DC"/>
    <w:rsid w:val="0044786D"/>
    <w:rsid w:val="00460CC2"/>
    <w:rsid w:val="004700BC"/>
    <w:rsid w:val="00472109"/>
    <w:rsid w:val="004805F9"/>
    <w:rsid w:val="00485FA5"/>
    <w:rsid w:val="00486FAC"/>
    <w:rsid w:val="00487505"/>
    <w:rsid w:val="004914AE"/>
    <w:rsid w:val="0049346E"/>
    <w:rsid w:val="00493A20"/>
    <w:rsid w:val="004A590E"/>
    <w:rsid w:val="004C5D03"/>
    <w:rsid w:val="004D0BE8"/>
    <w:rsid w:val="004E478C"/>
    <w:rsid w:val="004F1679"/>
    <w:rsid w:val="004F1BD4"/>
    <w:rsid w:val="00531E46"/>
    <w:rsid w:val="0054134B"/>
    <w:rsid w:val="0055006A"/>
    <w:rsid w:val="005628A5"/>
    <w:rsid w:val="005817D9"/>
    <w:rsid w:val="00581DA7"/>
    <w:rsid w:val="00584BF2"/>
    <w:rsid w:val="00591775"/>
    <w:rsid w:val="005958A1"/>
    <w:rsid w:val="005C17BC"/>
    <w:rsid w:val="005C336F"/>
    <w:rsid w:val="005C7B2A"/>
    <w:rsid w:val="005D2D65"/>
    <w:rsid w:val="005D4089"/>
    <w:rsid w:val="005E0DCF"/>
    <w:rsid w:val="005E6386"/>
    <w:rsid w:val="005F1523"/>
    <w:rsid w:val="005F1957"/>
    <w:rsid w:val="005F2C30"/>
    <w:rsid w:val="005F7B27"/>
    <w:rsid w:val="00602930"/>
    <w:rsid w:val="0060344B"/>
    <w:rsid w:val="00606C8B"/>
    <w:rsid w:val="00610834"/>
    <w:rsid w:val="00617017"/>
    <w:rsid w:val="00637E6A"/>
    <w:rsid w:val="0064002B"/>
    <w:rsid w:val="0064739D"/>
    <w:rsid w:val="00647DE4"/>
    <w:rsid w:val="00665455"/>
    <w:rsid w:val="0068386B"/>
    <w:rsid w:val="00697B16"/>
    <w:rsid w:val="006B4DC2"/>
    <w:rsid w:val="006B5B8D"/>
    <w:rsid w:val="006B6C18"/>
    <w:rsid w:val="006D2D5F"/>
    <w:rsid w:val="006D4A7E"/>
    <w:rsid w:val="006D5C3D"/>
    <w:rsid w:val="006D7A90"/>
    <w:rsid w:val="006E07DF"/>
    <w:rsid w:val="006E39E8"/>
    <w:rsid w:val="006E5302"/>
    <w:rsid w:val="006E71E0"/>
    <w:rsid w:val="00700849"/>
    <w:rsid w:val="007036F6"/>
    <w:rsid w:val="00703778"/>
    <w:rsid w:val="00713014"/>
    <w:rsid w:val="00715F49"/>
    <w:rsid w:val="00730404"/>
    <w:rsid w:val="0073066A"/>
    <w:rsid w:val="007354A2"/>
    <w:rsid w:val="00742FDB"/>
    <w:rsid w:val="00744FCB"/>
    <w:rsid w:val="00752341"/>
    <w:rsid w:val="007651AB"/>
    <w:rsid w:val="00765AA4"/>
    <w:rsid w:val="00765DE4"/>
    <w:rsid w:val="007668C5"/>
    <w:rsid w:val="00770058"/>
    <w:rsid w:val="00770DC7"/>
    <w:rsid w:val="007774B1"/>
    <w:rsid w:val="00784144"/>
    <w:rsid w:val="00790379"/>
    <w:rsid w:val="007A0A77"/>
    <w:rsid w:val="007A2B97"/>
    <w:rsid w:val="007A4B43"/>
    <w:rsid w:val="007A4C43"/>
    <w:rsid w:val="007A6404"/>
    <w:rsid w:val="007B545C"/>
    <w:rsid w:val="007C66D7"/>
    <w:rsid w:val="007D47BE"/>
    <w:rsid w:val="007E0DD6"/>
    <w:rsid w:val="007E2104"/>
    <w:rsid w:val="007E3FC1"/>
    <w:rsid w:val="007E76B4"/>
    <w:rsid w:val="007F022F"/>
    <w:rsid w:val="007F195E"/>
    <w:rsid w:val="007F23C7"/>
    <w:rsid w:val="008002BC"/>
    <w:rsid w:val="00815BE9"/>
    <w:rsid w:val="0082065F"/>
    <w:rsid w:val="0082186B"/>
    <w:rsid w:val="00821E10"/>
    <w:rsid w:val="00825CEA"/>
    <w:rsid w:val="00827305"/>
    <w:rsid w:val="00842A3F"/>
    <w:rsid w:val="00847248"/>
    <w:rsid w:val="00856494"/>
    <w:rsid w:val="00862AAE"/>
    <w:rsid w:val="00865A63"/>
    <w:rsid w:val="0087035F"/>
    <w:rsid w:val="00874168"/>
    <w:rsid w:val="00886CC9"/>
    <w:rsid w:val="00891FAD"/>
    <w:rsid w:val="008A1834"/>
    <w:rsid w:val="008A748A"/>
    <w:rsid w:val="008B088B"/>
    <w:rsid w:val="008B2E6D"/>
    <w:rsid w:val="008B3873"/>
    <w:rsid w:val="008B742B"/>
    <w:rsid w:val="008C6FAA"/>
    <w:rsid w:val="008F2462"/>
    <w:rsid w:val="00904816"/>
    <w:rsid w:val="00913B9A"/>
    <w:rsid w:val="0092110E"/>
    <w:rsid w:val="009222CE"/>
    <w:rsid w:val="0093057D"/>
    <w:rsid w:val="009430F6"/>
    <w:rsid w:val="00952414"/>
    <w:rsid w:val="0096704D"/>
    <w:rsid w:val="0097589A"/>
    <w:rsid w:val="00977886"/>
    <w:rsid w:val="00983390"/>
    <w:rsid w:val="00985F4F"/>
    <w:rsid w:val="00986F12"/>
    <w:rsid w:val="009A1C43"/>
    <w:rsid w:val="009A7452"/>
    <w:rsid w:val="009B6FC8"/>
    <w:rsid w:val="009C131A"/>
    <w:rsid w:val="009C529D"/>
    <w:rsid w:val="009D7DA4"/>
    <w:rsid w:val="009E2C2C"/>
    <w:rsid w:val="009E5BDE"/>
    <w:rsid w:val="009F70CE"/>
    <w:rsid w:val="00A02244"/>
    <w:rsid w:val="00A24FDF"/>
    <w:rsid w:val="00A37A55"/>
    <w:rsid w:val="00A50CB4"/>
    <w:rsid w:val="00A51DE5"/>
    <w:rsid w:val="00A55A94"/>
    <w:rsid w:val="00A6001E"/>
    <w:rsid w:val="00A70C8B"/>
    <w:rsid w:val="00A75231"/>
    <w:rsid w:val="00A80EC9"/>
    <w:rsid w:val="00AA30A8"/>
    <w:rsid w:val="00AA759D"/>
    <w:rsid w:val="00AA7E7D"/>
    <w:rsid w:val="00AB43AB"/>
    <w:rsid w:val="00AC4B54"/>
    <w:rsid w:val="00AD5F1A"/>
    <w:rsid w:val="00AE613C"/>
    <w:rsid w:val="00B01EBD"/>
    <w:rsid w:val="00B16A5A"/>
    <w:rsid w:val="00B240BF"/>
    <w:rsid w:val="00B27A26"/>
    <w:rsid w:val="00B33050"/>
    <w:rsid w:val="00B3438D"/>
    <w:rsid w:val="00B46C8A"/>
    <w:rsid w:val="00B46F00"/>
    <w:rsid w:val="00B5097A"/>
    <w:rsid w:val="00B6060C"/>
    <w:rsid w:val="00B70C80"/>
    <w:rsid w:val="00B7644B"/>
    <w:rsid w:val="00B86E5A"/>
    <w:rsid w:val="00BB3281"/>
    <w:rsid w:val="00BC2136"/>
    <w:rsid w:val="00BD6E45"/>
    <w:rsid w:val="00BE6222"/>
    <w:rsid w:val="00BF347F"/>
    <w:rsid w:val="00BF44A9"/>
    <w:rsid w:val="00C021C6"/>
    <w:rsid w:val="00C044EA"/>
    <w:rsid w:val="00C0451D"/>
    <w:rsid w:val="00C149D8"/>
    <w:rsid w:val="00C20FC7"/>
    <w:rsid w:val="00C25C0F"/>
    <w:rsid w:val="00C346FE"/>
    <w:rsid w:val="00C47742"/>
    <w:rsid w:val="00C50F57"/>
    <w:rsid w:val="00C51239"/>
    <w:rsid w:val="00C52A64"/>
    <w:rsid w:val="00C57372"/>
    <w:rsid w:val="00C73AEE"/>
    <w:rsid w:val="00C9586A"/>
    <w:rsid w:val="00CA2140"/>
    <w:rsid w:val="00CA287F"/>
    <w:rsid w:val="00CA63F4"/>
    <w:rsid w:val="00CA68E7"/>
    <w:rsid w:val="00CB6494"/>
    <w:rsid w:val="00CB7959"/>
    <w:rsid w:val="00CC3872"/>
    <w:rsid w:val="00CC4487"/>
    <w:rsid w:val="00CD0FA4"/>
    <w:rsid w:val="00CE78DC"/>
    <w:rsid w:val="00D02507"/>
    <w:rsid w:val="00D06262"/>
    <w:rsid w:val="00D12BD5"/>
    <w:rsid w:val="00D25506"/>
    <w:rsid w:val="00D41E74"/>
    <w:rsid w:val="00D42535"/>
    <w:rsid w:val="00D447D0"/>
    <w:rsid w:val="00D57FF4"/>
    <w:rsid w:val="00D6606A"/>
    <w:rsid w:val="00D7039B"/>
    <w:rsid w:val="00D96F05"/>
    <w:rsid w:val="00D97E37"/>
    <w:rsid w:val="00DA2236"/>
    <w:rsid w:val="00DA263E"/>
    <w:rsid w:val="00DB113F"/>
    <w:rsid w:val="00DB2001"/>
    <w:rsid w:val="00DB4DD9"/>
    <w:rsid w:val="00DB7EB7"/>
    <w:rsid w:val="00DC40E0"/>
    <w:rsid w:val="00DD326F"/>
    <w:rsid w:val="00DD7F26"/>
    <w:rsid w:val="00DE14AD"/>
    <w:rsid w:val="00DF0507"/>
    <w:rsid w:val="00DF2893"/>
    <w:rsid w:val="00DF34D3"/>
    <w:rsid w:val="00DF6408"/>
    <w:rsid w:val="00DF7113"/>
    <w:rsid w:val="00E040CD"/>
    <w:rsid w:val="00E0720D"/>
    <w:rsid w:val="00E163BA"/>
    <w:rsid w:val="00E214BA"/>
    <w:rsid w:val="00E21C9B"/>
    <w:rsid w:val="00E433F6"/>
    <w:rsid w:val="00E51384"/>
    <w:rsid w:val="00E514C4"/>
    <w:rsid w:val="00E5163D"/>
    <w:rsid w:val="00E80F04"/>
    <w:rsid w:val="00E82C3D"/>
    <w:rsid w:val="00E858FE"/>
    <w:rsid w:val="00E86A16"/>
    <w:rsid w:val="00E90C86"/>
    <w:rsid w:val="00EA584C"/>
    <w:rsid w:val="00EB1CDD"/>
    <w:rsid w:val="00EC323E"/>
    <w:rsid w:val="00EC59AE"/>
    <w:rsid w:val="00ED0641"/>
    <w:rsid w:val="00ED0ABD"/>
    <w:rsid w:val="00ED552C"/>
    <w:rsid w:val="00EE77C4"/>
    <w:rsid w:val="00EF1707"/>
    <w:rsid w:val="00EF2BD0"/>
    <w:rsid w:val="00EF69FA"/>
    <w:rsid w:val="00F2736C"/>
    <w:rsid w:val="00F327B1"/>
    <w:rsid w:val="00F3611B"/>
    <w:rsid w:val="00F414F8"/>
    <w:rsid w:val="00F47E2C"/>
    <w:rsid w:val="00F52039"/>
    <w:rsid w:val="00F62098"/>
    <w:rsid w:val="00F8323A"/>
    <w:rsid w:val="00F851C5"/>
    <w:rsid w:val="00F936A5"/>
    <w:rsid w:val="00F9460A"/>
    <w:rsid w:val="00F97D6D"/>
    <w:rsid w:val="00FA53CD"/>
    <w:rsid w:val="00FC1458"/>
    <w:rsid w:val="00FD4A87"/>
    <w:rsid w:val="00FE0CC6"/>
    <w:rsid w:val="00FE42CC"/>
    <w:rsid w:val="00FE4A36"/>
    <w:rsid w:val="00FE7BA3"/>
    <w:rsid w:val="00FE7BFC"/>
    <w:rsid w:val="00FF6A29"/>
    <w:rsid w:val="00FF7DD1"/>
    <w:rsid w:val="071F503F"/>
    <w:rsid w:val="072850FE"/>
    <w:rsid w:val="08800FE5"/>
    <w:rsid w:val="0AA219D4"/>
    <w:rsid w:val="0F380A5E"/>
    <w:rsid w:val="11390710"/>
    <w:rsid w:val="124A730F"/>
    <w:rsid w:val="13176384"/>
    <w:rsid w:val="171B1881"/>
    <w:rsid w:val="1A3B555D"/>
    <w:rsid w:val="1D024927"/>
    <w:rsid w:val="22025EF0"/>
    <w:rsid w:val="24CE0E6A"/>
    <w:rsid w:val="28244786"/>
    <w:rsid w:val="29D738A3"/>
    <w:rsid w:val="2F1627AE"/>
    <w:rsid w:val="39513587"/>
    <w:rsid w:val="3C990195"/>
    <w:rsid w:val="44787879"/>
    <w:rsid w:val="46E841F3"/>
    <w:rsid w:val="48D8725E"/>
    <w:rsid w:val="4ACE07E3"/>
    <w:rsid w:val="50D31FA9"/>
    <w:rsid w:val="56BD4602"/>
    <w:rsid w:val="57F04CBE"/>
    <w:rsid w:val="58AB57D1"/>
    <w:rsid w:val="6008725C"/>
    <w:rsid w:val="617F3CA4"/>
    <w:rsid w:val="62291F0C"/>
    <w:rsid w:val="663D20F9"/>
    <w:rsid w:val="6D2D20B0"/>
    <w:rsid w:val="6EEA72AC"/>
    <w:rsid w:val="75B37703"/>
    <w:rsid w:val="77E51F05"/>
    <w:rsid w:val="7A744676"/>
    <w:rsid w:val="7D4BCC36"/>
    <w:rsid w:val="7D9F8965"/>
    <w:rsid w:val="7E7FCC72"/>
    <w:rsid w:val="A4FD8134"/>
    <w:rsid w:val="AFFFDF18"/>
    <w:rsid w:val="DFCB3E3B"/>
    <w:rsid w:val="F3AAFE41"/>
    <w:rsid w:val="FE3FC99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6"/>
    <w:autoRedefine/>
    <w:qFormat/>
    <w:uiPriority w:val="0"/>
    <w:rPr>
      <w:rFonts w:ascii="宋体" w:hAnsi="Courier New"/>
      <w:szCs w:val="20"/>
    </w:rPr>
  </w:style>
  <w:style w:type="paragraph" w:styleId="3">
    <w:name w:val="Balloon Text"/>
    <w:basedOn w:val="1"/>
    <w:link w:val="15"/>
    <w:semiHidden/>
    <w:unhideWhenUsed/>
    <w:qFormat/>
    <w:uiPriority w:val="99"/>
    <w:rPr>
      <w:sz w:val="18"/>
      <w:szCs w:val="18"/>
    </w:rPr>
  </w:style>
  <w:style w:type="paragraph" w:styleId="4">
    <w:name w:val="footer"/>
    <w:basedOn w:val="1"/>
    <w:link w:val="11"/>
    <w:autoRedefine/>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character" w:styleId="10">
    <w:name w:val="Hyperlink"/>
    <w:basedOn w:val="8"/>
    <w:autoRedefine/>
    <w:unhideWhenUsed/>
    <w:qFormat/>
    <w:uiPriority w:val="99"/>
    <w:rPr>
      <w:color w:val="0000FF" w:themeColor="hyperlink"/>
      <w:u w:val="single"/>
    </w:rPr>
  </w:style>
  <w:style w:type="character" w:customStyle="1" w:styleId="11">
    <w:name w:val="页脚 字符"/>
    <w:link w:val="4"/>
    <w:autoRedefine/>
    <w:qFormat/>
    <w:uiPriority w:val="0"/>
    <w:rPr>
      <w:sz w:val="18"/>
      <w:szCs w:val="18"/>
    </w:rPr>
  </w:style>
  <w:style w:type="character" w:customStyle="1" w:styleId="12">
    <w:name w:val="页脚字符1"/>
    <w:basedOn w:val="8"/>
    <w:autoRedefine/>
    <w:semiHidden/>
    <w:qFormat/>
    <w:uiPriority w:val="99"/>
    <w:rPr>
      <w:rFonts w:ascii="Times New Roman" w:hAnsi="Times New Roman" w:eastAsia="宋体" w:cs="Times New Roman"/>
      <w:sz w:val="18"/>
      <w:szCs w:val="18"/>
    </w:rPr>
  </w:style>
  <w:style w:type="character" w:customStyle="1" w:styleId="13">
    <w:name w:val="页眉 字符"/>
    <w:basedOn w:val="8"/>
    <w:link w:val="5"/>
    <w:qFormat/>
    <w:uiPriority w:val="99"/>
    <w:rPr>
      <w:rFonts w:ascii="Times New Roman" w:hAnsi="Times New Roman" w:eastAsia="宋体" w:cs="Times New Roman"/>
      <w:sz w:val="18"/>
      <w:szCs w:val="18"/>
    </w:rPr>
  </w:style>
  <w:style w:type="paragraph" w:styleId="14">
    <w:name w:val="List Paragraph"/>
    <w:basedOn w:val="1"/>
    <w:autoRedefine/>
    <w:qFormat/>
    <w:uiPriority w:val="34"/>
    <w:pPr>
      <w:ind w:firstLine="420" w:firstLineChars="200"/>
    </w:pPr>
  </w:style>
  <w:style w:type="character" w:customStyle="1" w:styleId="15">
    <w:name w:val="批注框文本 字符"/>
    <w:basedOn w:val="8"/>
    <w:link w:val="3"/>
    <w:autoRedefine/>
    <w:semiHidden/>
    <w:qFormat/>
    <w:uiPriority w:val="99"/>
    <w:rPr>
      <w:rFonts w:ascii="Times New Roman" w:hAnsi="Times New Roman" w:eastAsia="宋体" w:cs="Times New Roman"/>
      <w:sz w:val="18"/>
      <w:szCs w:val="18"/>
    </w:rPr>
  </w:style>
  <w:style w:type="character" w:customStyle="1" w:styleId="16">
    <w:name w:val="纯文本 字符"/>
    <w:basedOn w:val="8"/>
    <w:link w:val="2"/>
    <w:autoRedefine/>
    <w:qFormat/>
    <w:uiPriority w:val="0"/>
    <w:rPr>
      <w:rFonts w:ascii="宋体" w:hAnsi="Courier New" w:eastAsia="宋体" w:cs="Times New Roman"/>
      <w:sz w:val="21"/>
      <w:szCs w:val="20"/>
    </w:rPr>
  </w:style>
  <w:style w:type="paragraph" w:customStyle="1" w:styleId="17">
    <w:name w:val="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Unresolved Mention"/>
    <w:basedOn w:val="8"/>
    <w:autoRedefine/>
    <w:semiHidden/>
    <w:unhideWhenUsed/>
    <w:qFormat/>
    <w:uiPriority w:val="99"/>
    <w:rPr>
      <w:color w:val="605E5C"/>
      <w:shd w:val="clear" w:color="auto" w:fill="E1DFDD"/>
    </w:rPr>
  </w:style>
  <w:style w:type="paragraph" w:customStyle="1" w:styleId="2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theme>
</file>

<file path=docProps/app.xml><?xml version="1.0" encoding="utf-8"?>
<Properties xmlns="http://schemas.openxmlformats.org/officeDocument/2006/extended-properties" xmlns:vt="http://schemas.openxmlformats.org/officeDocument/2006/docPropsVTypes">
  <Template>Normal</Template>
  <Company>y</Company>
  <Pages>9</Pages>
  <Words>590</Words>
  <Characters>3366</Characters>
  <Lines>28</Lines>
  <Paragraphs>7</Paragraphs>
  <TotalTime>5</TotalTime>
  <ScaleCrop>false</ScaleCrop>
  <LinksUpToDate>false</LinksUpToDate>
  <CharactersWithSpaces>3949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2020-03-02T20:48:00Z</dcterms:created>
  <dc:creator>张园 y</dc:creator>
  <cp:lastModifiedBy>Tina</cp:lastModifiedBy>
  <cp:lastPrinted>2022-02-15T18:57:00Z</cp:lastPrinted>
  <dcterms:modified xsi:type="dcterms:W3CDTF">2024-01-11T08:12:00Z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1FFC8E1E78164B499FC8DBB144F72B31</vt:lpwstr>
  </property>
</Properties>
</file>