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附件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  <w:t>2025年常德市城乡居民基本医疗保险参保任务分解表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firstLine="6720" w:firstLineChars="2400"/>
        <w:jc w:val="both"/>
        <w:textAlignment w:val="auto"/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单位：万人</w:t>
      </w:r>
    </w:p>
    <w:tbl>
      <w:tblPr>
        <w:tblStyle w:val="5"/>
        <w:tblW w:w="0" w:type="auto"/>
        <w:tblInd w:w="4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3932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3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 号</w:t>
            </w:r>
          </w:p>
        </w:tc>
        <w:tc>
          <w:tcPr>
            <w:tcW w:w="408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区县</w:t>
            </w:r>
            <w:r>
              <w:rPr>
                <w:rFonts w:hint="eastAsia" w:ascii="Nimbus Roman No9 L" w:hAnsi="Nimbus Roman No9 L" w:eastAsia="黑体" w:cs="Nimbus Roman No9 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（市）</w:t>
            </w:r>
          </w:p>
        </w:tc>
        <w:tc>
          <w:tcPr>
            <w:tcW w:w="299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任务数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08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  <w:t>武陵区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08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  <w:t>鼎城区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08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  <w:t>汉寿县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08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  <w:t>桃源县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08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  <w:t>临澧县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08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  <w:t>石门县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08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  <w:t>澧  县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08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安乡县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08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津市市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08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  <w:t>柳叶湖旅游度假区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08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  <w:t>桃花源旅游管理区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08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  <w:t>西湖管理区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08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  <w:t>西洞庭管理区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08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vertAlign w:val="baseline"/>
                <w:lang w:val="en-US" w:eastAsia="zh-CN"/>
              </w:rPr>
              <w:t>常德经济技术开发区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18" w:type="dxa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合  计</w:t>
            </w:r>
          </w:p>
        </w:tc>
        <w:tc>
          <w:tcPr>
            <w:tcW w:w="2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59176513"/>
    <w:rsid w:val="5917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2024-10-11T01:50:00Z</dcterms:created>
  <dc:creator>玖尾妖虎</dc:creator>
  <cp:lastModifiedBy>玖尾妖虎</cp:lastModifiedBy>
  <dcterms:modified xsi:type="dcterms:W3CDTF">2024-10-11T01:51:19Z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120BD61795B24387B1CE3C5CB58183BF_11</vt:lpwstr>
  </property>
</Properties>
</file>