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jc w:val="both"/>
        <w:rPr>
          <w:rFonts w:hint="eastAsia" w:ascii="黑体" w:hAnsi="黑体" w:eastAsia="黑体" w:cs="黑体"/>
          <w:b w:val="0"/>
          <w:bCs/>
          <w:sz w:val="36"/>
          <w:szCs w:val="36"/>
        </w:rPr>
      </w:pPr>
      <w:r>
        <w:rPr>
          <w:rFonts w:hint="eastAsia" w:ascii="黑体" w:hAnsi="黑体" w:eastAsia="黑体" w:cs="黑体"/>
          <w:b w:val="0"/>
          <w:bCs/>
          <w:sz w:val="36"/>
          <w:szCs w:val="36"/>
        </w:rPr>
        <w:t>202</w:t>
      </w:r>
      <w:r>
        <w:rPr>
          <w:rFonts w:hint="eastAsia" w:ascii="黑体" w:hAnsi="黑体" w:eastAsia="黑体" w:cs="黑体"/>
          <w:b w:val="0"/>
          <w:bCs/>
          <w:sz w:val="36"/>
          <w:szCs w:val="36"/>
          <w:lang w:val="en-US" w:eastAsia="zh-CN"/>
        </w:rPr>
        <w:t>5</w:t>
      </w:r>
      <w:r>
        <w:rPr>
          <w:rFonts w:hint="eastAsia" w:ascii="黑体" w:hAnsi="黑体" w:eastAsia="黑体" w:cs="黑体"/>
          <w:b w:val="0"/>
          <w:bCs/>
          <w:sz w:val="36"/>
          <w:szCs w:val="36"/>
        </w:rPr>
        <w:t>年度农业主推技术介绍</w:t>
      </w:r>
      <w:r>
        <w:rPr>
          <w:rFonts w:hint="eastAsia" w:ascii="黑体" w:hAnsi="黑体" w:eastAsia="黑体" w:cs="黑体"/>
          <w:b w:val="0"/>
          <w:bCs/>
          <w:sz w:val="36"/>
          <w:szCs w:val="36"/>
          <w:lang w:eastAsia="zh-CN"/>
        </w:rPr>
        <w:t>——</w:t>
      </w:r>
      <w:bookmarkStart w:id="0" w:name="_GoBack"/>
      <w:bookmarkEnd w:id="0"/>
    </w:p>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auto"/>
        <w:rPr>
          <w:rFonts w:hint="eastAsia" w:ascii="方正小标宋简体" w:hAnsi="方正小标宋简体" w:eastAsia="方正小标宋简体" w:cs="方正小标宋简体"/>
          <w:b w:val="0"/>
          <w:bCs w:val="0"/>
          <w:color w:val="000000"/>
          <w:kern w:val="0"/>
          <w:sz w:val="44"/>
          <w:szCs w:val="44"/>
          <w:lang w:val="en-US" w:eastAsia="zh-CN" w:bidi="ar"/>
        </w:rPr>
      </w:pPr>
      <w:r>
        <w:rPr>
          <w:rFonts w:hint="eastAsia" w:ascii="方正小标宋简体" w:hAnsi="方正小标宋简体" w:eastAsia="方正小标宋简体" w:cs="方正小标宋简体"/>
          <w:b w:val="0"/>
          <w:bCs w:val="0"/>
          <w:color w:val="000000"/>
          <w:kern w:val="0"/>
          <w:sz w:val="44"/>
          <w:szCs w:val="44"/>
          <w:lang w:val="en-US" w:eastAsia="zh-CN" w:bidi="ar"/>
        </w:rPr>
        <w:t>水稻秸秆提质加工饲料化利用技术</w:t>
      </w:r>
    </w:p>
    <w:p>
      <w:pPr>
        <w:keepNext w:val="0"/>
        <w:keepLines w:val="0"/>
        <w:widowControl/>
        <w:suppressLineNumbers w:val="0"/>
        <w:jc w:val="left"/>
        <w:rPr>
          <w:rFonts w:hint="default" w:ascii="Times New Roman" w:hAnsi="Times New Roman" w:eastAsia="华文中宋" w:cs="Times New Roman"/>
          <w:b/>
          <w:bCs/>
          <w:color w:val="000000"/>
          <w:kern w:val="0"/>
          <w:sz w:val="36"/>
          <w:szCs w:val="36"/>
          <w:lang w:val="en-US" w:eastAsia="zh-CN" w:bidi="ar"/>
        </w:rPr>
      </w:pPr>
    </w:p>
    <w:p>
      <w:pPr>
        <w:pStyle w:val="4"/>
        <w:ind w:firstLine="632"/>
      </w:pPr>
      <w:r>
        <w:t>一、技术概述</w:t>
      </w:r>
    </w:p>
    <w:p>
      <w:pPr>
        <w:ind w:firstLine="634"/>
        <w:rPr>
          <w:rFonts w:eastAsia="楷体_GB2312"/>
          <w:b/>
          <w:bCs/>
          <w:color w:val="000000"/>
          <w:sz w:val="28"/>
          <w:szCs w:val="28"/>
        </w:rPr>
      </w:pPr>
      <w:r>
        <w:rPr>
          <w:rStyle w:val="11"/>
          <w:b/>
          <w:bCs/>
        </w:rPr>
        <w:t>（一）技术基本情况</w:t>
      </w:r>
      <w:r>
        <w:rPr>
          <w:rFonts w:eastAsia="楷体_GB2312"/>
          <w:b/>
          <w:bCs/>
          <w:color w:val="000000"/>
          <w:sz w:val="28"/>
          <w:szCs w:val="28"/>
        </w:rPr>
        <w:t>（</w:t>
      </w:r>
      <w:r>
        <w:rPr>
          <w:rFonts w:hint="eastAsia" w:ascii="仿宋_GB2312" w:hAnsi="Times New Roman" w:eastAsia="仿宋_GB2312"/>
          <w:b/>
          <w:bCs/>
          <w:color w:val="000000"/>
          <w:sz w:val="28"/>
          <w:szCs w:val="28"/>
        </w:rPr>
        <w:t>研发推广背景、技术要点及</w:t>
      </w:r>
      <w:r>
        <w:rPr>
          <w:rFonts w:ascii="仿宋_GB2312" w:hAnsi="Times New Roman" w:eastAsia="仿宋_GB2312"/>
          <w:b/>
          <w:bCs/>
          <w:color w:val="000000"/>
          <w:sz w:val="28"/>
          <w:szCs w:val="28"/>
        </w:rPr>
        <w:t>解决的主要问题等</w:t>
      </w:r>
      <w:r>
        <w:rPr>
          <w:rFonts w:eastAsia="楷体_GB2312"/>
          <w:b/>
          <w:bCs/>
          <w:color w:val="000000"/>
          <w:sz w:val="28"/>
          <w:szCs w:val="28"/>
        </w:rPr>
        <w:t>）</w:t>
      </w:r>
    </w:p>
    <w:p>
      <w:pPr>
        <w:ind w:firstLine="632"/>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水稻是我国最主要的粮食作物，在保证水稻种植面积不变的前提下，如何提高种植户的经济效益，是水稻种植专家一直力克的问题。2017年湖南省水稻播种面积有4238.71千公顷，位居全国第一，水稻秸秆 3507.65万吨，其中大部分水稻秸秆用于焚烧供能，造成浪费。草食动物养殖过程中粗饲料成本高、饲草料资源不足，导致人畜争粮矛盾日益严重。因此，搭建种植户和养殖户中合作的桥梁，在不改变现有的种植制度的前提下，创建种养结合的新模式，提高种植户收益，降低养殖户成本，提高草食动物生产性能势在必行。本技术联合水稻产业技术体系水稻秸秆综合利用岗位专家唐启源教授创建了水稻秸秆黄贮提质饲料化利用技术。</w:t>
      </w:r>
    </w:p>
    <w:p>
      <w:pPr>
        <w:ind w:firstLine="634"/>
        <w:rPr>
          <w:rFonts w:eastAsia="楷体_GB2312"/>
          <w:b/>
          <w:bCs/>
          <w:color w:val="000000"/>
          <w:sz w:val="28"/>
          <w:szCs w:val="28"/>
        </w:rPr>
      </w:pPr>
      <w:r>
        <w:rPr>
          <w:rStyle w:val="11"/>
          <w:rFonts w:hint="eastAsia" w:eastAsia="楷体_GB2312"/>
          <w:lang w:val="en-US" w:eastAsia="zh-CN"/>
        </w:rPr>
        <w:t>（二）</w:t>
      </w:r>
      <w:r>
        <w:rPr>
          <w:rStyle w:val="11"/>
          <w:b/>
          <w:bCs/>
        </w:rPr>
        <w:t>技术示范推广情况</w:t>
      </w:r>
      <w:r>
        <w:rPr>
          <w:rFonts w:eastAsia="楷体_GB2312"/>
          <w:b/>
          <w:bCs/>
          <w:color w:val="000000"/>
          <w:sz w:val="28"/>
          <w:szCs w:val="28"/>
        </w:rPr>
        <w:t>（</w:t>
      </w:r>
      <w:r>
        <w:rPr>
          <w:rFonts w:hint="eastAsia" w:ascii="仿宋_GB2312" w:hAnsi="Times New Roman" w:eastAsia="仿宋_GB2312"/>
          <w:b/>
          <w:bCs/>
          <w:color w:val="000000"/>
          <w:sz w:val="28"/>
          <w:szCs w:val="28"/>
        </w:rPr>
        <w:t>近3年推广应用的范围、规模以及</w:t>
      </w:r>
      <w:r>
        <w:rPr>
          <w:rFonts w:ascii="仿宋_GB2312" w:hAnsi="Times New Roman" w:eastAsia="仿宋_GB2312"/>
          <w:b/>
          <w:bCs/>
          <w:color w:val="000000"/>
          <w:sz w:val="28"/>
          <w:szCs w:val="28"/>
        </w:rPr>
        <w:t>在</w:t>
      </w:r>
      <w:r>
        <w:rPr>
          <w:rFonts w:hint="eastAsia" w:ascii="仿宋_GB2312" w:hAnsi="Times New Roman" w:eastAsia="仿宋_GB2312"/>
          <w:b/>
          <w:bCs/>
          <w:color w:val="000000"/>
          <w:sz w:val="28"/>
          <w:szCs w:val="28"/>
        </w:rPr>
        <w:t>现代农业科技试验示范基地的示范推广情况</w:t>
      </w:r>
      <w:r>
        <w:rPr>
          <w:rFonts w:eastAsia="楷体_GB2312"/>
          <w:b/>
          <w:bCs/>
          <w:color w:val="000000"/>
          <w:sz w:val="28"/>
          <w:szCs w:val="28"/>
        </w:rPr>
        <w:t>）</w:t>
      </w:r>
    </w:p>
    <w:p>
      <w:pPr>
        <w:keepNext w:val="0"/>
        <w:keepLines w:val="0"/>
        <w:widowControl/>
        <w:numPr>
          <w:ilvl w:val="0"/>
          <w:numId w:val="0"/>
        </w:numPr>
        <w:suppressLineNumbers w:val="0"/>
        <w:jc w:val="left"/>
        <w:rPr>
          <w:rFonts w:ascii="仿宋" w:hAnsi="仿宋" w:eastAsia="仿宋" w:cs="仿宋"/>
          <w:color w:val="000000"/>
          <w:kern w:val="0"/>
          <w:sz w:val="28"/>
          <w:szCs w:val="28"/>
          <w:lang w:val="en-US" w:eastAsia="zh-CN" w:bidi="ar"/>
        </w:rPr>
      </w:pPr>
      <w:r>
        <w:rPr>
          <w:rFonts w:hint="eastAsia" w:ascii="仿宋" w:hAnsi="仿宋" w:eastAsia="仿宋" w:cs="仿宋"/>
          <w:color w:val="000000"/>
          <w:kern w:val="0"/>
          <w:sz w:val="31"/>
          <w:szCs w:val="31"/>
          <w:lang w:val="en-US" w:eastAsia="zh-CN" w:bidi="ar"/>
        </w:rPr>
        <w:t>　</w:t>
      </w:r>
      <w:r>
        <w:rPr>
          <w:rFonts w:hint="default" w:ascii="Times New Roman" w:hAnsi="Times New Roman" w:eastAsia="仿宋" w:cs="Times New Roman"/>
          <w:color w:val="000000"/>
          <w:kern w:val="0"/>
          <w:sz w:val="31"/>
          <w:szCs w:val="31"/>
          <w:lang w:val="en-US" w:eastAsia="zh-CN" w:bidi="ar"/>
        </w:rPr>
        <w:t>　</w:t>
      </w:r>
      <w:r>
        <w:rPr>
          <w:rFonts w:hint="default" w:ascii="Times New Roman" w:hAnsi="Times New Roman" w:eastAsia="仿宋" w:cs="Times New Roman"/>
          <w:color w:val="000000"/>
          <w:kern w:val="0"/>
          <w:sz w:val="28"/>
          <w:szCs w:val="28"/>
          <w:lang w:val="en-US" w:eastAsia="zh-CN" w:bidi="ar"/>
        </w:rPr>
        <w:t>该技术已在湖南、湖北、贵州等地区推广应用，累计生产水稻型黄贮饲料29.9万吨，覆盖肉牛养殖28.32万头（本成果为统计方便，将推广生产的水稻型粗饲料全部按照覆盖的肉牛来计算）。本技术的实施显著提高了水稻种植户的经济效益，降低了草食动物养殖户的粗饲料成本，经济、社会、生态效益良好。</w:t>
      </w:r>
    </w:p>
    <w:p>
      <w:pPr>
        <w:numPr>
          <w:ilvl w:val="0"/>
          <w:numId w:val="0"/>
        </w:numPr>
        <w:ind w:left="0" w:leftChars="0" w:firstLine="0" w:firstLineChars="0"/>
        <w:rPr>
          <w:rFonts w:eastAsia="楷体_GB2312"/>
          <w:b/>
          <w:bCs/>
          <w:color w:val="000000"/>
          <w:sz w:val="28"/>
          <w:szCs w:val="28"/>
        </w:rPr>
      </w:pPr>
      <w:r>
        <w:rPr>
          <w:rStyle w:val="11"/>
          <w:rFonts w:hint="eastAsia" w:eastAsia="楷体_GB2312"/>
          <w:b/>
          <w:bCs/>
          <w:lang w:eastAsia="zh-CN"/>
        </w:rPr>
        <w:t>（</w:t>
      </w:r>
      <w:r>
        <w:rPr>
          <w:rStyle w:val="11"/>
          <w:rFonts w:hint="eastAsia" w:eastAsia="楷体_GB2312"/>
          <w:b/>
          <w:bCs/>
          <w:lang w:val="en-US" w:eastAsia="zh-CN"/>
        </w:rPr>
        <w:t>三）</w:t>
      </w:r>
      <w:r>
        <w:rPr>
          <w:rStyle w:val="11"/>
          <w:b/>
          <w:bCs/>
        </w:rPr>
        <w:t>提质增效情况</w:t>
      </w:r>
      <w:r>
        <w:rPr>
          <w:rFonts w:eastAsia="楷体_GB2312"/>
          <w:b/>
          <w:bCs/>
          <w:color w:val="000000"/>
          <w:sz w:val="28"/>
          <w:szCs w:val="28"/>
        </w:rPr>
        <w:t>（</w:t>
      </w:r>
      <w:r>
        <w:rPr>
          <w:rFonts w:ascii="仿宋_GB2312" w:hAnsi="Times New Roman" w:eastAsia="仿宋_GB2312"/>
          <w:b/>
          <w:bCs/>
          <w:color w:val="000000"/>
          <w:sz w:val="28"/>
          <w:szCs w:val="28"/>
        </w:rPr>
        <w:t>试验示范或推广</w:t>
      </w:r>
      <w:r>
        <w:rPr>
          <w:rFonts w:hint="eastAsia" w:ascii="仿宋_GB2312" w:hAnsi="Times New Roman" w:eastAsia="仿宋_GB2312"/>
          <w:b/>
          <w:bCs/>
          <w:color w:val="000000"/>
          <w:sz w:val="28"/>
          <w:szCs w:val="28"/>
        </w:rPr>
        <w:t>应用</w:t>
      </w:r>
      <w:r>
        <w:rPr>
          <w:rFonts w:ascii="仿宋_GB2312" w:hAnsi="Times New Roman" w:eastAsia="仿宋_GB2312"/>
          <w:b/>
          <w:bCs/>
          <w:color w:val="000000"/>
          <w:sz w:val="28"/>
          <w:szCs w:val="28"/>
        </w:rPr>
        <w:t>过程中节约成本、</w:t>
      </w:r>
      <w:r>
        <w:rPr>
          <w:rFonts w:hint="eastAsia" w:ascii="仿宋_GB2312"/>
          <w:b/>
          <w:bCs/>
          <w:color w:val="000000"/>
          <w:sz w:val="28"/>
          <w:szCs w:val="28"/>
          <w:lang w:val="en-US" w:eastAsia="zh-CN"/>
        </w:rPr>
        <w:t>提升</w:t>
      </w:r>
      <w:r>
        <w:rPr>
          <w:rFonts w:ascii="仿宋_GB2312" w:hAnsi="Times New Roman" w:eastAsia="仿宋_GB2312"/>
          <w:b/>
          <w:bCs/>
          <w:color w:val="000000"/>
          <w:sz w:val="28"/>
          <w:szCs w:val="28"/>
        </w:rPr>
        <w:t>品质、增加效益、保护耕地与生态环保等情况</w:t>
      </w:r>
      <w:r>
        <w:rPr>
          <w:rFonts w:eastAsia="楷体_GB2312"/>
          <w:b/>
          <w:bCs/>
          <w:color w:val="000000"/>
          <w:sz w:val="28"/>
          <w:szCs w:val="28"/>
        </w:rPr>
        <w:t>）</w:t>
      </w:r>
    </w:p>
    <w:p>
      <w:pPr>
        <w:keepNext w:val="0"/>
        <w:keepLines w:val="0"/>
        <w:widowControl/>
        <w:suppressLineNumbers w:val="0"/>
        <w:ind w:left="0" w:leftChars="0" w:firstLine="0" w:firstLineChars="0"/>
        <w:jc w:val="left"/>
        <w:rPr>
          <w:sz w:val="28"/>
          <w:szCs w:val="28"/>
        </w:rPr>
      </w:pPr>
      <w:r>
        <w:rPr>
          <w:rFonts w:hint="eastAsia" w:ascii="仿宋" w:hAnsi="仿宋" w:eastAsia="仿宋" w:cs="仿宋"/>
          <w:color w:val="000000"/>
          <w:kern w:val="0"/>
          <w:sz w:val="31"/>
          <w:szCs w:val="31"/>
          <w:lang w:val="en-US" w:eastAsia="zh-CN" w:bidi="ar"/>
        </w:rPr>
        <w:t>　　</w:t>
      </w:r>
      <w:r>
        <w:rPr>
          <w:rFonts w:ascii="仿宋" w:hAnsi="仿宋" w:eastAsia="仿宋" w:cs="仿宋"/>
          <w:color w:val="000000"/>
          <w:kern w:val="0"/>
          <w:sz w:val="28"/>
          <w:szCs w:val="28"/>
          <w:lang w:val="en-US" w:eastAsia="zh-CN" w:bidi="ar"/>
        </w:rPr>
        <w:t>针对水稻秸秆中纤维素含量高，通过发酵处理，筛选出</w:t>
      </w:r>
      <w:r>
        <w:rPr>
          <w:rFonts w:hint="eastAsia" w:ascii="仿宋" w:hAnsi="仿宋" w:eastAsia="仿宋" w:cs="仿宋"/>
          <w:color w:val="000000"/>
          <w:kern w:val="0"/>
          <w:sz w:val="28"/>
          <w:szCs w:val="28"/>
          <w:lang w:val="en-US" w:eastAsia="zh-CN" w:bidi="ar"/>
        </w:rPr>
        <w:t xml:space="preserve">来适宜的黄贮时间、酶菌制剂和混合发酵处理，研发出水稻型粗饲料提质加工利用技术。 </w:t>
      </w:r>
    </w:p>
    <w:p>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水稻秸秆养分利用率较低，通过食用真菌接种到稻秸上进行发酵提高秸秆利用附加值。在水稻秸秆黄贮的过程中，添加剂可提高黄贮成功率。通过水稻秸秆和菌糠混合发酵等措施，总结配套黄贮提质技术。水稻秸秆提质饲料化利用技术经过试验取得了显著效果。</w:t>
      </w:r>
    </w:p>
    <w:p>
      <w:pPr>
        <w:keepNext w:val="0"/>
        <w:keepLines w:val="0"/>
        <w:widowControl/>
        <w:suppressLineNumbers w:val="0"/>
        <w:jc w:val="left"/>
        <w:rPr>
          <w:sz w:val="28"/>
          <w:szCs w:val="28"/>
        </w:rPr>
      </w:pPr>
      <w:r>
        <w:rPr>
          <w:rFonts w:ascii="仿宋" w:hAnsi="仿宋" w:eastAsia="仿宋" w:cs="仿宋"/>
          <w:color w:val="000000"/>
          <w:kern w:val="0"/>
          <w:sz w:val="28"/>
          <w:szCs w:val="28"/>
          <w:lang w:val="en-US" w:eastAsia="zh-CN" w:bidi="ar"/>
        </w:rPr>
        <w:t>（</w:t>
      </w:r>
      <w:r>
        <w:rPr>
          <w:rFonts w:hint="default" w:ascii="Times New Roman" w:hAnsi="Times New Roman" w:eastAsia="宋体" w:cs="Times New Roman"/>
          <w:color w:val="000000"/>
          <w:kern w:val="0"/>
          <w:sz w:val="28"/>
          <w:szCs w:val="28"/>
          <w:lang w:val="en-US" w:eastAsia="zh-CN" w:bidi="ar"/>
        </w:rPr>
        <w:t>1</w:t>
      </w:r>
      <w:r>
        <w:rPr>
          <w:rFonts w:hint="eastAsia" w:ascii="仿宋" w:hAnsi="仿宋" w:eastAsia="仿宋" w:cs="仿宋"/>
          <w:color w:val="000000"/>
          <w:kern w:val="0"/>
          <w:sz w:val="28"/>
          <w:szCs w:val="28"/>
          <w:lang w:val="en-US" w:eastAsia="zh-CN" w:bidi="ar"/>
        </w:rPr>
        <w:t xml:space="preserve">）发酵品质 </w:t>
      </w:r>
    </w:p>
    <w:p>
      <w:pPr>
        <w:keepNext w:val="0"/>
        <w:keepLines w:val="0"/>
        <w:widowControl/>
        <w:suppressLineNumbers w:val="0"/>
        <w:jc w:val="left"/>
        <w:rPr>
          <w:sz w:val="28"/>
          <w:szCs w:val="28"/>
        </w:rPr>
      </w:pPr>
      <w:r>
        <w:rPr>
          <w:rFonts w:hint="eastAsia" w:ascii="仿宋" w:hAnsi="仿宋" w:eastAsia="仿宋" w:cs="仿宋"/>
          <w:color w:val="000000"/>
          <w:kern w:val="0"/>
          <w:sz w:val="28"/>
          <w:szCs w:val="28"/>
          <w:lang w:val="en-US" w:eastAsia="zh-CN" w:bidi="ar"/>
        </w:rPr>
        <w:t>本技术通过混合发酵和合理的黄贮时间处理，水稻秸秆总能可增加</w:t>
      </w:r>
      <w:r>
        <w:rPr>
          <w:rFonts w:hint="default" w:ascii="Times New Roman" w:hAnsi="Times New Roman" w:eastAsia="宋体" w:cs="Times New Roman"/>
          <w:color w:val="000000"/>
          <w:kern w:val="0"/>
          <w:sz w:val="28"/>
          <w:szCs w:val="28"/>
          <w:lang w:val="en-US" w:eastAsia="zh-CN" w:bidi="ar"/>
        </w:rPr>
        <w:t>1.22-1.51MJ/kg</w:t>
      </w:r>
      <w:r>
        <w:rPr>
          <w:rFonts w:hint="eastAsia" w:eastAsia="宋体" w:cs="Times New Roman"/>
          <w:color w:val="000000"/>
          <w:kern w:val="0"/>
          <w:sz w:val="28"/>
          <w:szCs w:val="28"/>
          <w:lang w:val="en-US" w:eastAsia="zh-CN" w:bidi="ar"/>
        </w:rPr>
        <w:t>，</w:t>
      </w:r>
      <w:r>
        <w:rPr>
          <w:rFonts w:hint="eastAsia" w:ascii="仿宋" w:hAnsi="仿宋" w:eastAsia="仿宋" w:cs="仿宋"/>
          <w:color w:val="000000"/>
          <w:kern w:val="0"/>
          <w:sz w:val="28"/>
          <w:szCs w:val="28"/>
          <w:lang w:val="en-US" w:eastAsia="zh-CN" w:bidi="ar"/>
        </w:rPr>
        <w:t xml:space="preserve">中性洗涤纤维降低 </w:t>
      </w:r>
      <w:r>
        <w:rPr>
          <w:rFonts w:hint="default" w:ascii="Times New Roman" w:hAnsi="Times New Roman" w:eastAsia="宋体" w:cs="Times New Roman"/>
          <w:color w:val="000000"/>
          <w:kern w:val="0"/>
          <w:sz w:val="28"/>
          <w:szCs w:val="28"/>
          <w:lang w:val="en-US" w:eastAsia="zh-CN" w:bidi="ar"/>
        </w:rPr>
        <w:t>11.40-17.16%</w:t>
      </w:r>
      <w:r>
        <w:rPr>
          <w:rFonts w:hint="eastAsia" w:ascii="仿宋" w:hAnsi="仿宋" w:eastAsia="仿宋" w:cs="仿宋"/>
          <w:color w:val="000000"/>
          <w:kern w:val="0"/>
          <w:sz w:val="28"/>
          <w:szCs w:val="28"/>
          <w:lang w:val="en-US" w:eastAsia="zh-CN" w:bidi="ar"/>
        </w:rPr>
        <w:t>、酸性洗涤纤维降低</w:t>
      </w:r>
      <w:r>
        <w:rPr>
          <w:rFonts w:hint="default" w:ascii="Times New Roman" w:hAnsi="Times New Roman" w:eastAsia="宋体" w:cs="Times New Roman"/>
          <w:color w:val="000000"/>
          <w:kern w:val="0"/>
          <w:sz w:val="28"/>
          <w:szCs w:val="28"/>
          <w:lang w:val="en-US" w:eastAsia="zh-CN" w:bidi="ar"/>
        </w:rPr>
        <w:t>10.34-12.98%</w:t>
      </w:r>
      <w:r>
        <w:rPr>
          <w:rFonts w:hint="eastAsia" w:eastAsia="宋体" w:cs="Times New Roman"/>
          <w:color w:val="000000"/>
          <w:kern w:val="0"/>
          <w:sz w:val="28"/>
          <w:szCs w:val="28"/>
          <w:lang w:val="en-US" w:eastAsia="zh-CN" w:bidi="ar"/>
        </w:rPr>
        <w:t>，</w:t>
      </w:r>
      <w:r>
        <w:rPr>
          <w:rFonts w:hint="eastAsia" w:ascii="仿宋" w:hAnsi="仿宋" w:eastAsia="仿宋" w:cs="仿宋"/>
          <w:color w:val="000000"/>
          <w:kern w:val="0"/>
          <w:sz w:val="28"/>
          <w:szCs w:val="28"/>
          <w:lang w:val="en-US" w:eastAsia="zh-CN" w:bidi="ar"/>
        </w:rPr>
        <w:t>粗蛋白含量增加</w:t>
      </w:r>
      <w:r>
        <w:rPr>
          <w:rFonts w:hint="default" w:ascii="Times New Roman" w:hAnsi="Times New Roman" w:eastAsia="宋体" w:cs="Times New Roman"/>
          <w:color w:val="000000"/>
          <w:kern w:val="0"/>
          <w:sz w:val="28"/>
          <w:szCs w:val="28"/>
          <w:lang w:val="en-US" w:eastAsia="zh-CN" w:bidi="ar"/>
        </w:rPr>
        <w:t>0.86-2.64%</w:t>
      </w:r>
      <w:r>
        <w:rPr>
          <w:rFonts w:hint="eastAsia" w:ascii="仿宋" w:hAnsi="仿宋" w:eastAsia="仿宋" w:cs="仿宋"/>
          <w:color w:val="000000"/>
          <w:kern w:val="0"/>
          <w:sz w:val="28"/>
          <w:szCs w:val="28"/>
          <w:lang w:val="en-US" w:eastAsia="zh-CN" w:bidi="ar"/>
        </w:rPr>
        <w:t>，总可消化养分增加</w:t>
      </w:r>
      <w:r>
        <w:rPr>
          <w:rFonts w:hint="default" w:ascii="Times New Roman" w:hAnsi="Times New Roman" w:eastAsia="宋体" w:cs="Times New Roman"/>
          <w:color w:val="000000"/>
          <w:kern w:val="0"/>
          <w:sz w:val="28"/>
          <w:szCs w:val="28"/>
          <w:lang w:val="en-US" w:eastAsia="zh-CN" w:bidi="ar"/>
        </w:rPr>
        <w:t>8.06-10.12%</w:t>
      </w:r>
      <w:r>
        <w:rPr>
          <w:rFonts w:hint="eastAsia" w:ascii="仿宋" w:hAnsi="仿宋" w:eastAsia="仿宋" w:cs="仿宋"/>
          <w:color w:val="000000"/>
          <w:kern w:val="0"/>
          <w:sz w:val="28"/>
          <w:szCs w:val="28"/>
          <w:lang w:val="en-US" w:eastAsia="zh-CN" w:bidi="ar"/>
        </w:rPr>
        <w:t xml:space="preserve">，体外发酵试验结果显示水稻秸秆乙酸含量增加 </w:t>
      </w:r>
      <w:r>
        <w:rPr>
          <w:rFonts w:hint="default" w:ascii="Times New Roman" w:hAnsi="Times New Roman" w:eastAsia="宋体" w:cs="Times New Roman"/>
          <w:color w:val="000000"/>
          <w:kern w:val="0"/>
          <w:sz w:val="28"/>
          <w:szCs w:val="28"/>
          <w:lang w:val="en-US" w:eastAsia="zh-CN" w:bidi="ar"/>
        </w:rPr>
        <w:t>0.67-0.82mmol/L</w:t>
      </w:r>
      <w:r>
        <w:rPr>
          <w:rFonts w:hint="eastAsia" w:ascii="仿宋" w:hAnsi="仿宋" w:eastAsia="仿宋" w:cs="仿宋"/>
          <w:color w:val="000000"/>
          <w:kern w:val="0"/>
          <w:sz w:val="28"/>
          <w:szCs w:val="28"/>
          <w:lang w:val="en-US" w:eastAsia="zh-CN" w:bidi="ar"/>
        </w:rPr>
        <w:t>和氨态氮</w:t>
      </w:r>
      <w:r>
        <w:rPr>
          <w:rFonts w:hint="default" w:ascii="Times New Roman" w:hAnsi="Times New Roman" w:eastAsia="宋体" w:cs="Times New Roman"/>
          <w:color w:val="000000"/>
          <w:kern w:val="0"/>
          <w:sz w:val="28"/>
          <w:szCs w:val="28"/>
          <w:lang w:val="en-US" w:eastAsia="zh-CN" w:bidi="ar"/>
        </w:rPr>
        <w:t>/</w:t>
      </w:r>
      <w:r>
        <w:rPr>
          <w:rFonts w:hint="eastAsia" w:ascii="仿宋" w:hAnsi="仿宋" w:eastAsia="仿宋" w:cs="仿宋"/>
          <w:color w:val="000000"/>
          <w:kern w:val="0"/>
          <w:sz w:val="28"/>
          <w:szCs w:val="28"/>
          <w:lang w:val="en-US" w:eastAsia="zh-CN" w:bidi="ar"/>
        </w:rPr>
        <w:t>总氮降低</w:t>
      </w:r>
      <w:r>
        <w:rPr>
          <w:rFonts w:hint="default" w:ascii="Times New Roman" w:hAnsi="Times New Roman" w:eastAsia="宋体" w:cs="Times New Roman"/>
          <w:color w:val="000000"/>
          <w:kern w:val="0"/>
          <w:sz w:val="28"/>
          <w:szCs w:val="28"/>
          <w:lang w:val="en-US" w:eastAsia="zh-CN" w:bidi="ar"/>
        </w:rPr>
        <w:t>0.21-1.71%</w:t>
      </w:r>
      <w:r>
        <w:rPr>
          <w:rFonts w:hint="eastAsia" w:ascii="仿宋" w:hAnsi="仿宋" w:eastAsia="仿宋" w:cs="仿宋"/>
          <w:color w:val="000000"/>
          <w:kern w:val="0"/>
          <w:sz w:val="28"/>
          <w:szCs w:val="28"/>
          <w:lang w:val="en-US" w:eastAsia="zh-CN" w:bidi="ar"/>
        </w:rPr>
        <w:t>。</w:t>
      </w:r>
    </w:p>
    <w:p>
      <w:pPr>
        <w:keepNext w:val="0"/>
        <w:keepLines w:val="0"/>
        <w:widowControl/>
        <w:suppressLineNumbers w:val="0"/>
        <w:ind w:left="0" w:leftChars="0" w:firstLine="0" w:firstLineChars="0"/>
        <w:jc w:val="left"/>
        <w:rPr>
          <w:sz w:val="28"/>
          <w:szCs w:val="28"/>
        </w:rPr>
      </w:pPr>
      <w:r>
        <w:rPr>
          <w:rFonts w:hint="eastAsia" w:ascii="仿宋" w:hAnsi="仿宋" w:eastAsia="仿宋" w:cs="仿宋"/>
          <w:color w:val="000000"/>
          <w:kern w:val="0"/>
          <w:sz w:val="28"/>
          <w:szCs w:val="28"/>
          <w:lang w:val="en-US" w:eastAsia="zh-CN" w:bidi="ar"/>
        </w:rPr>
        <w:t>　　</w:t>
      </w:r>
      <w:r>
        <w:rPr>
          <w:rFonts w:ascii="仿宋" w:hAnsi="仿宋" w:eastAsia="仿宋" w:cs="仿宋"/>
          <w:color w:val="000000"/>
          <w:kern w:val="0"/>
          <w:sz w:val="28"/>
          <w:szCs w:val="28"/>
          <w:lang w:val="en-US" w:eastAsia="zh-CN" w:bidi="ar"/>
        </w:rPr>
        <w:t>（</w:t>
      </w:r>
      <w:r>
        <w:rPr>
          <w:rFonts w:hint="default" w:ascii="Times New Roman" w:hAnsi="Times New Roman" w:eastAsia="宋体" w:cs="Times New Roman"/>
          <w:color w:val="000000"/>
          <w:kern w:val="0"/>
          <w:sz w:val="28"/>
          <w:szCs w:val="28"/>
          <w:lang w:val="en-US" w:eastAsia="zh-CN" w:bidi="ar"/>
        </w:rPr>
        <w:t>2</w:t>
      </w:r>
      <w:r>
        <w:rPr>
          <w:rFonts w:hint="eastAsia" w:ascii="仿宋" w:hAnsi="仿宋" w:eastAsia="仿宋" w:cs="仿宋"/>
          <w:color w:val="000000"/>
          <w:kern w:val="0"/>
          <w:sz w:val="28"/>
          <w:szCs w:val="28"/>
          <w:lang w:val="en-US" w:eastAsia="zh-CN" w:bidi="ar"/>
        </w:rPr>
        <w:t xml:space="preserve">）养分降解率 </w:t>
      </w:r>
    </w:p>
    <w:p>
      <w:pPr>
        <w:keepNext w:val="0"/>
        <w:keepLines w:val="0"/>
        <w:widowControl/>
        <w:suppressLineNumbers w:val="0"/>
        <w:ind w:left="0" w:leftChars="0" w:firstLine="611" w:firstLineChars="0"/>
        <w:jc w:val="left"/>
        <w:rPr>
          <w:rFonts w:hint="default" w:ascii="Times New Roman" w:hAnsi="Times New Roman" w:eastAsia="仿宋" w:cs="Times New Roman"/>
          <w:color w:val="000000"/>
          <w:kern w:val="0"/>
          <w:sz w:val="28"/>
          <w:szCs w:val="28"/>
          <w:lang w:val="en-US" w:eastAsia="zh-CN" w:bidi="ar"/>
        </w:rPr>
      </w:pPr>
      <w:r>
        <w:rPr>
          <w:rFonts w:hint="default" w:ascii="Times New Roman" w:hAnsi="Times New Roman" w:eastAsia="仿宋" w:cs="Times New Roman"/>
          <w:color w:val="000000"/>
          <w:kern w:val="0"/>
          <w:sz w:val="28"/>
          <w:szCs w:val="28"/>
          <w:lang w:val="en-US" w:eastAsia="zh-CN" w:bidi="ar"/>
        </w:rPr>
        <w:t xml:space="preserve">本技术通过混合发酵和合理的黄贮时间处理，水稻秸秆干物质降解率可增加2.42-4.69%、粗蛋白降解率可增加5.43-8.58%、有机物降解率可增加0.60-2.35%、中性洗涤纤维降解率可增加1.43-4.28%和酸性洗涤纤维降解率可增加4.83-5.52%。 </w:t>
      </w:r>
    </w:p>
    <w:p>
      <w:pPr>
        <w:keepNext w:val="0"/>
        <w:keepLines w:val="0"/>
        <w:widowControl/>
        <w:suppressLineNumbers w:val="0"/>
        <w:jc w:val="left"/>
        <w:rPr>
          <w:sz w:val="28"/>
          <w:szCs w:val="28"/>
        </w:rPr>
      </w:pPr>
      <w:r>
        <w:rPr>
          <w:rFonts w:ascii="仿宋" w:hAnsi="仿宋" w:eastAsia="仿宋" w:cs="仿宋"/>
          <w:color w:val="000000"/>
          <w:kern w:val="0"/>
          <w:sz w:val="28"/>
          <w:szCs w:val="28"/>
          <w:lang w:val="en-US" w:eastAsia="zh-CN" w:bidi="ar"/>
        </w:rPr>
        <w:t>水稻秸秆提质饲料化利用技术取得的经济、社会、</w:t>
      </w:r>
      <w:r>
        <w:rPr>
          <w:rFonts w:hint="eastAsia" w:ascii="仿宋" w:hAnsi="仿宋" w:eastAsia="仿宋" w:cs="仿宋"/>
          <w:color w:val="000000"/>
          <w:kern w:val="0"/>
          <w:sz w:val="28"/>
          <w:szCs w:val="28"/>
          <w:lang w:val="en-US" w:eastAsia="zh-CN" w:bidi="ar"/>
        </w:rPr>
        <w:t xml:space="preserve">生态效益情况。 </w:t>
      </w:r>
    </w:p>
    <w:p>
      <w:pPr>
        <w:keepNext w:val="0"/>
        <w:keepLines w:val="0"/>
        <w:widowControl/>
        <w:suppressLineNumbers w:val="0"/>
        <w:jc w:val="left"/>
        <w:rPr>
          <w:sz w:val="28"/>
          <w:szCs w:val="28"/>
        </w:rPr>
      </w:pPr>
      <w:r>
        <w:rPr>
          <w:rFonts w:hint="eastAsia" w:ascii="仿宋" w:hAnsi="仿宋" w:eastAsia="仿宋" w:cs="仿宋"/>
          <w:color w:val="000000"/>
          <w:kern w:val="0"/>
          <w:sz w:val="28"/>
          <w:szCs w:val="28"/>
          <w:lang w:val="en-US" w:eastAsia="zh-CN" w:bidi="ar"/>
        </w:rPr>
        <w:t>（</w:t>
      </w:r>
      <w:r>
        <w:rPr>
          <w:rFonts w:hint="default" w:ascii="Times New Roman" w:hAnsi="Times New Roman" w:eastAsia="宋体" w:cs="Times New Roman"/>
          <w:color w:val="000000"/>
          <w:kern w:val="0"/>
          <w:sz w:val="28"/>
          <w:szCs w:val="28"/>
          <w:lang w:val="en-US" w:eastAsia="zh-CN" w:bidi="ar"/>
        </w:rPr>
        <w:t>1</w:t>
      </w:r>
      <w:r>
        <w:rPr>
          <w:rFonts w:hint="eastAsia" w:ascii="仿宋" w:hAnsi="仿宋" w:eastAsia="仿宋" w:cs="仿宋"/>
          <w:color w:val="000000"/>
          <w:kern w:val="0"/>
          <w:sz w:val="28"/>
          <w:szCs w:val="28"/>
          <w:lang w:val="en-US" w:eastAsia="zh-CN" w:bidi="ar"/>
        </w:rPr>
        <w:t xml:space="preserve">）经济效益 </w:t>
      </w:r>
    </w:p>
    <w:p>
      <w:pPr>
        <w:keepNext w:val="0"/>
        <w:keepLines w:val="0"/>
        <w:widowControl/>
        <w:suppressLineNumbers w:val="0"/>
        <w:ind w:left="0" w:leftChars="0" w:firstLine="0" w:firstLineChars="0"/>
        <w:jc w:val="left"/>
        <w:rPr>
          <w:sz w:val="28"/>
          <w:szCs w:val="28"/>
        </w:rPr>
      </w:pPr>
      <w:r>
        <w:rPr>
          <w:rFonts w:hint="eastAsia" w:ascii="仿宋" w:hAnsi="仿宋" w:eastAsia="仿宋" w:cs="仿宋"/>
          <w:color w:val="000000"/>
          <w:kern w:val="0"/>
          <w:sz w:val="28"/>
          <w:szCs w:val="28"/>
          <w:lang w:val="en-US" w:eastAsia="zh-CN" w:bidi="ar"/>
        </w:rPr>
        <w:t>与传统水稻种植，秸秆弃用模式对比，应用本技术生产出来的水稻秸秆黄贮鲜重共计</w:t>
      </w:r>
      <w:r>
        <w:rPr>
          <w:rFonts w:hint="default" w:ascii="Times New Roman" w:hAnsi="Times New Roman" w:eastAsia="宋体" w:cs="Times New Roman"/>
          <w:color w:val="000000"/>
          <w:kern w:val="0"/>
          <w:sz w:val="28"/>
          <w:szCs w:val="28"/>
          <w:lang w:val="en-US" w:eastAsia="zh-CN" w:bidi="ar"/>
        </w:rPr>
        <w:t>4.0</w:t>
      </w:r>
      <w:r>
        <w:rPr>
          <w:rFonts w:hint="eastAsia" w:ascii="仿宋" w:hAnsi="仿宋" w:eastAsia="仿宋" w:cs="仿宋"/>
          <w:color w:val="000000"/>
          <w:kern w:val="0"/>
          <w:sz w:val="28"/>
          <w:szCs w:val="28"/>
          <w:lang w:val="en-US" w:eastAsia="zh-CN" w:bidi="ar"/>
        </w:rPr>
        <w:t>吨</w:t>
      </w:r>
      <w:r>
        <w:rPr>
          <w:rFonts w:hint="default" w:ascii="Times New Roman" w:hAnsi="Times New Roman" w:eastAsia="宋体" w:cs="Times New Roman"/>
          <w:color w:val="000000"/>
          <w:kern w:val="0"/>
          <w:sz w:val="28"/>
          <w:szCs w:val="28"/>
          <w:lang w:val="en-US" w:eastAsia="zh-CN" w:bidi="ar"/>
        </w:rPr>
        <w:t>/</w:t>
      </w:r>
      <w:r>
        <w:rPr>
          <w:rFonts w:hint="eastAsia" w:ascii="仿宋" w:hAnsi="仿宋" w:eastAsia="仿宋" w:cs="仿宋"/>
          <w:color w:val="000000"/>
          <w:kern w:val="0"/>
          <w:sz w:val="28"/>
          <w:szCs w:val="28"/>
          <w:lang w:val="en-US" w:eastAsia="zh-CN" w:bidi="ar"/>
        </w:rPr>
        <w:t>亩，</w:t>
      </w:r>
      <w:r>
        <w:rPr>
          <w:rFonts w:hint="default" w:ascii="Times New Roman" w:hAnsi="Times New Roman" w:eastAsia="宋体" w:cs="Times New Roman"/>
          <w:color w:val="000000"/>
          <w:kern w:val="0"/>
          <w:sz w:val="28"/>
          <w:szCs w:val="28"/>
          <w:lang w:val="en-US" w:eastAsia="zh-CN" w:bidi="ar"/>
        </w:rPr>
        <w:t xml:space="preserve">1 </w:t>
      </w:r>
      <w:r>
        <w:rPr>
          <w:rFonts w:hint="eastAsia" w:ascii="仿宋" w:hAnsi="仿宋" w:eastAsia="仿宋" w:cs="仿宋"/>
          <w:color w:val="000000"/>
          <w:kern w:val="0"/>
          <w:sz w:val="28"/>
          <w:szCs w:val="28"/>
          <w:lang w:val="en-US" w:eastAsia="zh-CN" w:bidi="ar"/>
        </w:rPr>
        <w:t>亩地可以提供</w:t>
      </w:r>
      <w:r>
        <w:rPr>
          <w:rFonts w:hint="default" w:ascii="Times New Roman" w:hAnsi="Times New Roman" w:eastAsia="宋体" w:cs="Times New Roman"/>
          <w:color w:val="000000"/>
          <w:kern w:val="0"/>
          <w:sz w:val="28"/>
          <w:szCs w:val="28"/>
          <w:lang w:val="en-US" w:eastAsia="zh-CN" w:bidi="ar"/>
        </w:rPr>
        <w:t>1.5</w:t>
      </w:r>
      <w:r>
        <w:rPr>
          <w:rFonts w:hint="eastAsia" w:ascii="仿宋" w:hAnsi="仿宋" w:eastAsia="仿宋" w:cs="仿宋"/>
          <w:color w:val="000000"/>
          <w:kern w:val="0"/>
          <w:sz w:val="28"/>
          <w:szCs w:val="28"/>
          <w:lang w:val="en-US" w:eastAsia="zh-CN" w:bidi="ar"/>
        </w:rPr>
        <w:t>头肉牛全年的粗饲料，该模式下生产水稻秸秆黄贮成本为</w:t>
      </w:r>
      <w:r>
        <w:rPr>
          <w:rFonts w:hint="default" w:ascii="Times New Roman" w:hAnsi="Times New Roman" w:eastAsia="宋体" w:cs="Times New Roman"/>
          <w:color w:val="000000"/>
          <w:kern w:val="0"/>
          <w:sz w:val="28"/>
          <w:szCs w:val="28"/>
          <w:lang w:val="en-US" w:eastAsia="zh-CN" w:bidi="ar"/>
        </w:rPr>
        <w:t>250</w:t>
      </w:r>
      <w:r>
        <w:rPr>
          <w:rFonts w:hint="eastAsia" w:ascii="仿宋" w:hAnsi="仿宋" w:eastAsia="仿宋" w:cs="仿宋"/>
          <w:color w:val="000000"/>
          <w:kern w:val="0"/>
          <w:sz w:val="28"/>
          <w:szCs w:val="28"/>
          <w:lang w:val="en-US" w:eastAsia="zh-CN" w:bidi="ar"/>
        </w:rPr>
        <w:t>元</w:t>
      </w:r>
      <w:r>
        <w:rPr>
          <w:rFonts w:hint="default" w:ascii="Times New Roman" w:hAnsi="Times New Roman" w:eastAsia="宋体" w:cs="Times New Roman"/>
          <w:color w:val="000000"/>
          <w:kern w:val="0"/>
          <w:sz w:val="28"/>
          <w:szCs w:val="28"/>
          <w:lang w:val="en-US" w:eastAsia="zh-CN" w:bidi="ar"/>
        </w:rPr>
        <w:t>/</w:t>
      </w:r>
      <w:r>
        <w:rPr>
          <w:rFonts w:hint="eastAsia" w:ascii="仿宋" w:hAnsi="仿宋" w:eastAsia="仿宋" w:cs="仿宋"/>
          <w:color w:val="000000"/>
          <w:kern w:val="0"/>
          <w:sz w:val="28"/>
          <w:szCs w:val="28"/>
          <w:lang w:val="en-US" w:eastAsia="zh-CN" w:bidi="ar"/>
        </w:rPr>
        <w:t>吨，与目前全株玉米青贮和玉米秸秆市场价格相比，节约</w:t>
      </w:r>
      <w:r>
        <w:rPr>
          <w:rFonts w:hint="default" w:ascii="Times New Roman" w:hAnsi="Times New Roman" w:eastAsia="宋体" w:cs="Times New Roman"/>
          <w:color w:val="000000"/>
          <w:kern w:val="0"/>
          <w:sz w:val="28"/>
          <w:szCs w:val="28"/>
          <w:lang w:val="en-US" w:eastAsia="zh-CN" w:bidi="ar"/>
        </w:rPr>
        <w:t>200</w:t>
      </w:r>
      <w:r>
        <w:rPr>
          <w:rFonts w:hint="eastAsia" w:ascii="仿宋" w:hAnsi="仿宋" w:eastAsia="仿宋" w:cs="仿宋"/>
          <w:color w:val="000000"/>
          <w:kern w:val="0"/>
          <w:sz w:val="28"/>
          <w:szCs w:val="28"/>
          <w:lang w:val="en-US" w:eastAsia="zh-CN" w:bidi="ar"/>
        </w:rPr>
        <w:t>元</w:t>
      </w:r>
      <w:r>
        <w:rPr>
          <w:rFonts w:hint="default" w:ascii="Times New Roman" w:hAnsi="Times New Roman" w:eastAsia="宋体" w:cs="Times New Roman"/>
          <w:color w:val="000000"/>
          <w:kern w:val="0"/>
          <w:sz w:val="28"/>
          <w:szCs w:val="28"/>
          <w:lang w:val="en-US" w:eastAsia="zh-CN" w:bidi="ar"/>
        </w:rPr>
        <w:t>/</w:t>
      </w:r>
      <w:r>
        <w:rPr>
          <w:rFonts w:hint="eastAsia" w:ascii="仿宋" w:hAnsi="仿宋" w:eastAsia="仿宋" w:cs="仿宋"/>
          <w:color w:val="000000"/>
          <w:kern w:val="0"/>
          <w:sz w:val="28"/>
          <w:szCs w:val="28"/>
          <w:lang w:val="en-US" w:eastAsia="zh-CN" w:bidi="ar"/>
        </w:rPr>
        <w:t>吨，节约粗饲料成本为</w:t>
      </w:r>
      <w:r>
        <w:rPr>
          <w:rFonts w:hint="default" w:ascii="Times New Roman" w:hAnsi="Times New Roman" w:eastAsia="宋体" w:cs="Times New Roman"/>
          <w:color w:val="000000"/>
          <w:kern w:val="0"/>
          <w:sz w:val="28"/>
          <w:szCs w:val="28"/>
          <w:lang w:val="en-US" w:eastAsia="zh-CN" w:bidi="ar"/>
        </w:rPr>
        <w:t>463.76</w:t>
      </w:r>
      <w:r>
        <w:rPr>
          <w:rFonts w:hint="eastAsia" w:ascii="仿宋" w:hAnsi="仿宋" w:eastAsia="仿宋" w:cs="仿宋"/>
          <w:color w:val="000000"/>
          <w:kern w:val="0"/>
          <w:sz w:val="28"/>
          <w:szCs w:val="28"/>
          <w:lang w:val="en-US" w:eastAsia="zh-CN" w:bidi="ar"/>
        </w:rPr>
        <w:t>元</w:t>
      </w:r>
      <w:r>
        <w:rPr>
          <w:rFonts w:hint="default" w:ascii="Times New Roman" w:hAnsi="Times New Roman" w:eastAsia="宋体" w:cs="Times New Roman"/>
          <w:color w:val="000000"/>
          <w:kern w:val="0"/>
          <w:sz w:val="28"/>
          <w:szCs w:val="28"/>
          <w:lang w:val="en-US" w:eastAsia="zh-CN" w:bidi="ar"/>
        </w:rPr>
        <w:t>/</w:t>
      </w:r>
      <w:r>
        <w:rPr>
          <w:rFonts w:hint="eastAsia" w:ascii="仿宋" w:hAnsi="仿宋" w:eastAsia="仿宋" w:cs="仿宋"/>
          <w:color w:val="000000"/>
          <w:kern w:val="0"/>
          <w:sz w:val="28"/>
          <w:szCs w:val="28"/>
          <w:lang w:val="en-US" w:eastAsia="zh-CN" w:bidi="ar"/>
        </w:rPr>
        <w:t>亩。经试验对比，与传统水稻秸秆饲喂模式相比，水稻秸秆黄贮饲喂组，肉牛平均日增重平均提高</w:t>
      </w:r>
      <w:r>
        <w:rPr>
          <w:rFonts w:hint="default" w:ascii="Times New Roman" w:hAnsi="Times New Roman" w:eastAsia="宋体" w:cs="Times New Roman"/>
          <w:color w:val="000000"/>
          <w:kern w:val="0"/>
          <w:sz w:val="28"/>
          <w:szCs w:val="28"/>
          <w:lang w:val="en-US" w:eastAsia="zh-CN" w:bidi="ar"/>
        </w:rPr>
        <w:t>50g/</w:t>
      </w:r>
      <w:r>
        <w:rPr>
          <w:rFonts w:hint="eastAsia" w:ascii="仿宋" w:hAnsi="仿宋" w:eastAsia="仿宋" w:cs="仿宋"/>
          <w:color w:val="000000"/>
          <w:kern w:val="0"/>
          <w:sz w:val="28"/>
          <w:szCs w:val="28"/>
          <w:lang w:val="en-US" w:eastAsia="zh-CN" w:bidi="ar"/>
        </w:rPr>
        <w:t>头</w:t>
      </w:r>
      <w:r>
        <w:rPr>
          <w:rFonts w:hint="default" w:ascii="Times New Roman" w:hAnsi="Times New Roman" w:eastAsia="宋体" w:cs="Times New Roman"/>
          <w:color w:val="000000"/>
          <w:kern w:val="0"/>
          <w:sz w:val="28"/>
          <w:szCs w:val="28"/>
          <w:lang w:val="en-US" w:eastAsia="zh-CN" w:bidi="ar"/>
        </w:rPr>
        <w:t>/</w:t>
      </w:r>
      <w:r>
        <w:rPr>
          <w:rFonts w:hint="eastAsia" w:ascii="仿宋" w:hAnsi="仿宋" w:eastAsia="仿宋" w:cs="仿宋"/>
          <w:color w:val="000000"/>
          <w:kern w:val="0"/>
          <w:sz w:val="28"/>
          <w:szCs w:val="28"/>
          <w:lang w:val="en-US" w:eastAsia="zh-CN" w:bidi="ar"/>
        </w:rPr>
        <w:t>天，增重效益提高</w:t>
      </w:r>
      <w:r>
        <w:rPr>
          <w:rFonts w:hint="default" w:ascii="Times New Roman" w:hAnsi="Times New Roman" w:eastAsia="宋体" w:cs="Times New Roman"/>
          <w:color w:val="000000"/>
          <w:kern w:val="0"/>
          <w:sz w:val="28"/>
          <w:szCs w:val="28"/>
          <w:lang w:val="en-US" w:eastAsia="zh-CN" w:bidi="ar"/>
        </w:rPr>
        <w:t>626.89</w:t>
      </w:r>
      <w:r>
        <w:rPr>
          <w:rFonts w:hint="eastAsia" w:ascii="仿宋" w:hAnsi="仿宋" w:eastAsia="仿宋" w:cs="仿宋"/>
          <w:color w:val="000000"/>
          <w:kern w:val="0"/>
          <w:sz w:val="28"/>
          <w:szCs w:val="28"/>
          <w:lang w:val="en-US" w:eastAsia="zh-CN" w:bidi="ar"/>
        </w:rPr>
        <w:t>元</w:t>
      </w:r>
      <w:r>
        <w:rPr>
          <w:rFonts w:hint="default" w:ascii="Times New Roman" w:hAnsi="Times New Roman" w:eastAsia="宋体" w:cs="Times New Roman"/>
          <w:color w:val="000000"/>
          <w:kern w:val="0"/>
          <w:sz w:val="28"/>
          <w:szCs w:val="28"/>
          <w:lang w:val="en-US" w:eastAsia="zh-CN" w:bidi="ar"/>
        </w:rPr>
        <w:t>/</w:t>
      </w:r>
      <w:r>
        <w:rPr>
          <w:rFonts w:hint="eastAsia" w:ascii="仿宋" w:hAnsi="仿宋" w:eastAsia="仿宋" w:cs="仿宋"/>
          <w:color w:val="000000"/>
          <w:kern w:val="0"/>
          <w:sz w:val="28"/>
          <w:szCs w:val="28"/>
          <w:lang w:val="en-US" w:eastAsia="zh-CN" w:bidi="ar"/>
        </w:rPr>
        <w:t>头</w:t>
      </w:r>
      <w:r>
        <w:rPr>
          <w:rFonts w:hint="default" w:ascii="Times New Roman" w:hAnsi="Times New Roman" w:eastAsia="宋体" w:cs="Times New Roman"/>
          <w:color w:val="000000"/>
          <w:kern w:val="0"/>
          <w:sz w:val="28"/>
          <w:szCs w:val="28"/>
          <w:lang w:val="en-US" w:eastAsia="zh-CN" w:bidi="ar"/>
        </w:rPr>
        <w:t>/</w:t>
      </w:r>
      <w:r>
        <w:rPr>
          <w:rFonts w:hint="eastAsia" w:ascii="仿宋" w:hAnsi="仿宋" w:eastAsia="仿宋" w:cs="仿宋"/>
          <w:color w:val="000000"/>
          <w:kern w:val="0"/>
          <w:sz w:val="28"/>
          <w:szCs w:val="28"/>
          <w:lang w:val="en-US" w:eastAsia="zh-CN" w:bidi="ar"/>
        </w:rPr>
        <w:t xml:space="preserve">年。 </w:t>
      </w:r>
    </w:p>
    <w:p>
      <w:pPr>
        <w:keepNext w:val="0"/>
        <w:keepLines w:val="0"/>
        <w:widowControl/>
        <w:suppressLineNumbers w:val="0"/>
        <w:jc w:val="left"/>
        <w:rPr>
          <w:sz w:val="28"/>
          <w:szCs w:val="28"/>
        </w:rPr>
      </w:pPr>
      <w:r>
        <w:rPr>
          <w:rFonts w:hint="eastAsia" w:ascii="仿宋" w:hAnsi="仿宋" w:eastAsia="仿宋" w:cs="仿宋"/>
          <w:color w:val="000000"/>
          <w:kern w:val="0"/>
          <w:sz w:val="28"/>
          <w:szCs w:val="28"/>
          <w:lang w:val="en-US" w:eastAsia="zh-CN" w:bidi="ar"/>
        </w:rPr>
        <w:t>截止</w:t>
      </w:r>
      <w:r>
        <w:rPr>
          <w:rFonts w:hint="default" w:ascii="Times New Roman" w:hAnsi="Times New Roman" w:eastAsia="宋体" w:cs="Times New Roman"/>
          <w:color w:val="000000"/>
          <w:kern w:val="0"/>
          <w:sz w:val="28"/>
          <w:szCs w:val="28"/>
          <w:lang w:val="en-US" w:eastAsia="zh-CN" w:bidi="ar"/>
        </w:rPr>
        <w:t>2022</w:t>
      </w:r>
      <w:r>
        <w:rPr>
          <w:rFonts w:hint="eastAsia" w:ascii="仿宋" w:hAnsi="仿宋" w:eastAsia="仿宋" w:cs="仿宋"/>
          <w:color w:val="000000"/>
          <w:kern w:val="0"/>
          <w:sz w:val="28"/>
          <w:szCs w:val="28"/>
          <w:lang w:val="en-US" w:eastAsia="zh-CN" w:bidi="ar"/>
        </w:rPr>
        <w:t>年底，推广面积为</w:t>
      </w:r>
      <w:r>
        <w:rPr>
          <w:rFonts w:hint="default" w:ascii="Times New Roman" w:hAnsi="Times New Roman" w:eastAsia="宋体" w:cs="Times New Roman"/>
          <w:color w:val="000000"/>
          <w:kern w:val="0"/>
          <w:sz w:val="28"/>
          <w:szCs w:val="28"/>
          <w:lang w:val="en-US" w:eastAsia="zh-CN" w:bidi="ar"/>
        </w:rPr>
        <w:t>21.8</w:t>
      </w:r>
      <w:r>
        <w:rPr>
          <w:rFonts w:hint="eastAsia" w:ascii="仿宋" w:hAnsi="仿宋" w:eastAsia="仿宋" w:cs="仿宋"/>
          <w:color w:val="000000"/>
          <w:kern w:val="0"/>
          <w:sz w:val="28"/>
          <w:szCs w:val="28"/>
          <w:lang w:val="en-US" w:eastAsia="zh-CN" w:bidi="ar"/>
        </w:rPr>
        <w:t xml:space="preserve">万亩，种植户端新增收益为 </w:t>
      </w:r>
      <w:r>
        <w:rPr>
          <w:rFonts w:hint="default" w:ascii="Times New Roman" w:hAnsi="Times New Roman" w:eastAsia="宋体" w:cs="Times New Roman"/>
          <w:color w:val="000000"/>
          <w:kern w:val="0"/>
          <w:sz w:val="28"/>
          <w:szCs w:val="28"/>
          <w:lang w:val="en-US" w:eastAsia="zh-CN" w:bidi="ar"/>
        </w:rPr>
        <w:t>293.50</w:t>
      </w:r>
      <w:r>
        <w:rPr>
          <w:rFonts w:hint="eastAsia" w:ascii="仿宋" w:hAnsi="仿宋" w:eastAsia="仿宋" w:cs="仿宋"/>
          <w:color w:val="000000"/>
          <w:kern w:val="0"/>
          <w:sz w:val="28"/>
          <w:szCs w:val="28"/>
          <w:lang w:val="en-US" w:eastAsia="zh-CN" w:bidi="ar"/>
        </w:rPr>
        <w:t>元</w:t>
      </w:r>
      <w:r>
        <w:rPr>
          <w:rFonts w:hint="default" w:ascii="Times New Roman" w:hAnsi="Times New Roman" w:eastAsia="宋体" w:cs="Times New Roman"/>
          <w:color w:val="000000"/>
          <w:kern w:val="0"/>
          <w:sz w:val="28"/>
          <w:szCs w:val="28"/>
          <w:lang w:val="en-US" w:eastAsia="zh-CN" w:bidi="ar"/>
        </w:rPr>
        <w:t>/</w:t>
      </w:r>
      <w:r>
        <w:rPr>
          <w:rFonts w:hint="eastAsia" w:ascii="仿宋" w:hAnsi="仿宋" w:eastAsia="仿宋" w:cs="仿宋"/>
          <w:color w:val="000000"/>
          <w:kern w:val="0"/>
          <w:sz w:val="28"/>
          <w:szCs w:val="28"/>
          <w:lang w:val="en-US" w:eastAsia="zh-CN" w:bidi="ar"/>
        </w:rPr>
        <w:t>亩，计新增</w:t>
      </w:r>
      <w:r>
        <w:rPr>
          <w:rFonts w:hint="default" w:ascii="Times New Roman" w:hAnsi="Times New Roman" w:eastAsia="宋体" w:cs="Times New Roman"/>
          <w:color w:val="000000"/>
          <w:kern w:val="0"/>
          <w:sz w:val="28"/>
          <w:szCs w:val="28"/>
          <w:lang w:val="en-US" w:eastAsia="zh-CN" w:bidi="ar"/>
        </w:rPr>
        <w:t>6398.28</w:t>
      </w:r>
      <w:r>
        <w:rPr>
          <w:rFonts w:hint="eastAsia" w:ascii="仿宋" w:hAnsi="仿宋" w:eastAsia="仿宋" w:cs="仿宋"/>
          <w:color w:val="000000"/>
          <w:kern w:val="0"/>
          <w:sz w:val="28"/>
          <w:szCs w:val="28"/>
          <w:lang w:val="en-US" w:eastAsia="zh-CN" w:bidi="ar"/>
        </w:rPr>
        <w:t>万元。覆盖肉牛</w:t>
      </w:r>
      <w:r>
        <w:rPr>
          <w:rFonts w:hint="default" w:ascii="Times New Roman" w:hAnsi="Times New Roman" w:eastAsia="宋体" w:cs="Times New Roman"/>
          <w:color w:val="000000"/>
          <w:kern w:val="0"/>
          <w:sz w:val="28"/>
          <w:szCs w:val="28"/>
          <w:lang w:val="en-US" w:eastAsia="zh-CN" w:bidi="ar"/>
        </w:rPr>
        <w:t>28.32</w:t>
      </w:r>
      <w:r>
        <w:rPr>
          <w:rFonts w:hint="eastAsia" w:ascii="仿宋" w:hAnsi="仿宋" w:eastAsia="仿宋" w:cs="仿宋"/>
          <w:color w:val="000000"/>
          <w:kern w:val="0"/>
          <w:sz w:val="28"/>
          <w:szCs w:val="28"/>
          <w:lang w:val="en-US" w:eastAsia="zh-CN" w:bidi="ar"/>
        </w:rPr>
        <w:t>万头，节约粗饲料成本</w:t>
      </w:r>
      <w:r>
        <w:rPr>
          <w:rFonts w:hint="default" w:ascii="Times New Roman" w:hAnsi="Times New Roman" w:eastAsia="宋体" w:cs="Times New Roman"/>
          <w:color w:val="000000"/>
          <w:kern w:val="0"/>
          <w:sz w:val="28"/>
          <w:szCs w:val="28"/>
          <w:lang w:val="en-US" w:eastAsia="zh-CN" w:bidi="ar"/>
        </w:rPr>
        <w:t>10110</w:t>
      </w:r>
      <w:r>
        <w:rPr>
          <w:rFonts w:hint="eastAsia" w:ascii="仿宋" w:hAnsi="仿宋" w:eastAsia="仿宋" w:cs="仿宋"/>
          <w:color w:val="000000"/>
          <w:kern w:val="0"/>
          <w:sz w:val="28"/>
          <w:szCs w:val="28"/>
          <w:lang w:val="en-US" w:eastAsia="zh-CN" w:bidi="ar"/>
        </w:rPr>
        <w:t>万元。肉牛养殖增重效益提高</w:t>
      </w:r>
      <w:r>
        <w:rPr>
          <w:rFonts w:hint="default" w:ascii="Times New Roman" w:hAnsi="Times New Roman" w:eastAsia="宋体" w:cs="Times New Roman"/>
          <w:color w:val="000000"/>
          <w:kern w:val="0"/>
          <w:sz w:val="28"/>
          <w:szCs w:val="28"/>
          <w:lang w:val="en-US" w:eastAsia="zh-CN" w:bidi="ar"/>
        </w:rPr>
        <w:t>17753.6</w:t>
      </w:r>
      <w:r>
        <w:rPr>
          <w:rFonts w:hint="eastAsia" w:ascii="仿宋" w:hAnsi="仿宋" w:eastAsia="仿宋" w:cs="仿宋"/>
          <w:color w:val="000000"/>
          <w:kern w:val="0"/>
          <w:sz w:val="28"/>
          <w:szCs w:val="28"/>
          <w:lang w:val="en-US" w:eastAsia="zh-CN" w:bidi="ar"/>
        </w:rPr>
        <w:t>万元。合计新增收益</w:t>
      </w:r>
      <w:r>
        <w:rPr>
          <w:rFonts w:hint="default" w:ascii="Times New Roman" w:hAnsi="Times New Roman" w:eastAsia="宋体" w:cs="Times New Roman"/>
          <w:color w:val="000000"/>
          <w:kern w:val="0"/>
          <w:sz w:val="28"/>
          <w:szCs w:val="28"/>
          <w:lang w:val="en-US" w:eastAsia="zh-CN" w:bidi="ar"/>
        </w:rPr>
        <w:t>34261.88</w:t>
      </w:r>
      <w:r>
        <w:rPr>
          <w:rFonts w:hint="eastAsia" w:ascii="仿宋" w:hAnsi="仿宋" w:eastAsia="仿宋" w:cs="仿宋"/>
          <w:color w:val="000000"/>
          <w:kern w:val="0"/>
          <w:sz w:val="28"/>
          <w:szCs w:val="28"/>
          <w:lang w:val="en-US" w:eastAsia="zh-CN" w:bidi="ar"/>
        </w:rPr>
        <w:t xml:space="preserve">万元。 </w:t>
      </w:r>
    </w:p>
    <w:p>
      <w:pPr>
        <w:keepNext w:val="0"/>
        <w:keepLines w:val="0"/>
        <w:widowControl/>
        <w:suppressLineNumbers w:val="0"/>
        <w:jc w:val="left"/>
        <w:rPr>
          <w:sz w:val="28"/>
          <w:szCs w:val="28"/>
        </w:rPr>
      </w:pPr>
      <w:r>
        <w:rPr>
          <w:rFonts w:hint="eastAsia" w:ascii="仿宋" w:hAnsi="仿宋" w:eastAsia="仿宋" w:cs="仿宋"/>
          <w:color w:val="000000"/>
          <w:kern w:val="0"/>
          <w:sz w:val="28"/>
          <w:szCs w:val="28"/>
          <w:lang w:val="en-US" w:eastAsia="zh-CN" w:bidi="ar"/>
        </w:rPr>
        <w:t>（</w:t>
      </w:r>
      <w:r>
        <w:rPr>
          <w:rFonts w:hint="default" w:ascii="Times New Roman" w:hAnsi="Times New Roman" w:eastAsia="宋体" w:cs="Times New Roman"/>
          <w:color w:val="000000"/>
          <w:kern w:val="0"/>
          <w:sz w:val="28"/>
          <w:szCs w:val="28"/>
          <w:lang w:val="en-US" w:eastAsia="zh-CN" w:bidi="ar"/>
        </w:rPr>
        <w:t>2</w:t>
      </w:r>
      <w:r>
        <w:rPr>
          <w:rFonts w:hint="eastAsia" w:ascii="仿宋" w:hAnsi="仿宋" w:eastAsia="仿宋" w:cs="仿宋"/>
          <w:color w:val="000000"/>
          <w:kern w:val="0"/>
          <w:sz w:val="28"/>
          <w:szCs w:val="28"/>
          <w:lang w:val="en-US" w:eastAsia="zh-CN" w:bidi="ar"/>
        </w:rPr>
        <w:t xml:space="preserve">）社会及生态效益 </w:t>
      </w:r>
    </w:p>
    <w:p>
      <w:pPr>
        <w:keepNext w:val="0"/>
        <w:keepLines w:val="0"/>
        <w:widowControl/>
        <w:suppressLineNumbers w:val="0"/>
        <w:jc w:val="left"/>
        <w:rPr>
          <w:sz w:val="28"/>
          <w:szCs w:val="28"/>
        </w:rPr>
      </w:pPr>
      <w:r>
        <w:rPr>
          <w:rFonts w:hint="eastAsia" w:ascii="仿宋" w:hAnsi="仿宋" w:eastAsia="仿宋" w:cs="仿宋"/>
          <w:color w:val="000000"/>
          <w:kern w:val="0"/>
          <w:sz w:val="28"/>
          <w:szCs w:val="28"/>
          <w:lang w:val="en-US" w:eastAsia="zh-CN" w:bidi="ar"/>
        </w:rPr>
        <w:t xml:space="preserve">促进秸秆资源化利用：作物秸秆是我国畜牧业使用最为广泛的饲料，水稻秸秆提质饲料化利用模式创建与应用，有利于增收节粮，助力水稻秸秆饲料的合理利用，丰富水稻秸秆的利用方式。加快了水稻秸秆利用产业技术化，促进了水稻秸秆饲料转化增值，提升其在种养循环中的纽带作用，壮大秸秆养畜产业。 </w:t>
      </w:r>
    </w:p>
    <w:p>
      <w:pPr>
        <w:keepNext w:val="0"/>
        <w:keepLines w:val="0"/>
        <w:widowControl/>
        <w:suppressLineNumbers w:val="0"/>
        <w:jc w:val="left"/>
        <w:rPr>
          <w:sz w:val="28"/>
          <w:szCs w:val="28"/>
        </w:rPr>
      </w:pPr>
      <w:r>
        <w:rPr>
          <w:rFonts w:hint="eastAsia" w:ascii="仿宋" w:hAnsi="仿宋" w:eastAsia="仿宋" w:cs="仿宋"/>
          <w:color w:val="000000"/>
          <w:kern w:val="0"/>
          <w:sz w:val="28"/>
          <w:szCs w:val="28"/>
          <w:lang w:val="en-US" w:eastAsia="zh-CN" w:bidi="ar"/>
        </w:rPr>
        <w:t xml:space="preserve">助力环境保护：技术的应用推进了农作物秸秆利用，减少了农作物秸秆焚烧引发的大气污染，有利于改善农业农村生态环境质量，响应国家生态文明建设。加快农业绿色低碳发展，促进农产品质量安全水平的提高。 </w:t>
      </w:r>
    </w:p>
    <w:p>
      <w:pPr>
        <w:keepNext w:val="0"/>
        <w:keepLines w:val="0"/>
        <w:widowControl/>
        <w:suppressLineNumbers w:val="0"/>
        <w:jc w:val="left"/>
        <w:rPr>
          <w:rFonts w:hint="default" w:ascii="Times New Roman" w:hAnsi="Times New Roman" w:eastAsia="仿宋" w:cs="Times New Roman"/>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助力种植户和养殖户增收：本技术提高了水稻种植户的收益，降低了养殖户的粗饲料成本，对我国乡村振兴具有重要作用，促进了农民增收、农业发展和农村社会繁荣。</w:t>
      </w:r>
    </w:p>
    <w:p>
      <w:pPr>
        <w:ind w:left="0" w:leftChars="0" w:firstLine="0" w:firstLineChars="0"/>
        <w:rPr>
          <w:rFonts w:eastAsia="楷体_GB2312"/>
          <w:b/>
          <w:bCs/>
          <w:color w:val="000000"/>
          <w:sz w:val="28"/>
          <w:szCs w:val="28"/>
        </w:rPr>
      </w:pPr>
      <w:r>
        <w:rPr>
          <w:rStyle w:val="11"/>
          <w:rFonts w:hint="eastAsia" w:eastAsia="楷体_GB2312"/>
          <w:b/>
          <w:bCs/>
          <w:lang w:eastAsia="zh-CN"/>
        </w:rPr>
        <w:t>　　</w:t>
      </w:r>
      <w:r>
        <w:rPr>
          <w:rStyle w:val="11"/>
          <w:b/>
          <w:bCs/>
        </w:rPr>
        <w:t>（四）技术获奖情况</w:t>
      </w:r>
      <w:r>
        <w:rPr>
          <w:rFonts w:eastAsia="楷体_GB2312"/>
          <w:b/>
          <w:bCs/>
          <w:color w:val="000000"/>
          <w:sz w:val="28"/>
          <w:szCs w:val="28"/>
        </w:rPr>
        <w:t>（</w:t>
      </w:r>
      <w:r>
        <w:rPr>
          <w:rFonts w:hint="eastAsia" w:ascii="仿宋_GB2312" w:hAnsi="Times New Roman" w:eastAsia="仿宋_GB2312"/>
          <w:b/>
          <w:bCs/>
          <w:color w:val="000000"/>
          <w:sz w:val="28"/>
          <w:szCs w:val="28"/>
        </w:rPr>
        <w:t>以该技术为核心的成果获得的科技奖励情况</w:t>
      </w:r>
      <w:r>
        <w:rPr>
          <w:rFonts w:eastAsia="楷体_GB2312"/>
          <w:b/>
          <w:bCs/>
          <w:color w:val="000000"/>
          <w:sz w:val="28"/>
          <w:szCs w:val="28"/>
        </w:rPr>
        <w:t>）</w:t>
      </w:r>
    </w:p>
    <w:p>
      <w:pPr>
        <w:ind w:firstLine="632"/>
        <w:rPr>
          <w:rFonts w:hint="eastAsia" w:ascii="仿宋_GB2312" w:hAnsi="Times New Roman" w:eastAsia="仿宋_GB2312"/>
          <w:color w:val="000000"/>
          <w:sz w:val="28"/>
          <w:szCs w:val="28"/>
          <w:lang w:eastAsia="zh-CN"/>
        </w:rPr>
      </w:pPr>
      <w:r>
        <w:rPr>
          <w:rFonts w:hint="eastAsia" w:ascii="仿宋_GB2312"/>
          <w:color w:val="000000"/>
          <w:sz w:val="28"/>
          <w:szCs w:val="28"/>
          <w:lang w:val="en-US" w:eastAsia="zh-CN"/>
        </w:rPr>
        <w:t>　无</w:t>
      </w:r>
    </w:p>
    <w:p>
      <w:pPr>
        <w:ind w:firstLine="632"/>
        <w:rPr>
          <w:rFonts w:eastAsia="黑体"/>
          <w:color w:val="000000"/>
          <w:sz w:val="28"/>
          <w:szCs w:val="28"/>
        </w:rPr>
      </w:pPr>
      <w:r>
        <w:rPr>
          <w:rFonts w:eastAsia="黑体"/>
          <w:color w:val="000000"/>
          <w:szCs w:val="32"/>
        </w:rPr>
        <w:t>二、技术要点</w:t>
      </w:r>
      <w:r>
        <w:rPr>
          <w:rFonts w:eastAsia="黑体"/>
          <w:color w:val="000000"/>
          <w:sz w:val="28"/>
          <w:szCs w:val="28"/>
        </w:rPr>
        <w:t>（</w:t>
      </w:r>
      <w:r>
        <w:rPr>
          <w:rFonts w:hint="eastAsia" w:ascii="仿宋_GB2312" w:hAnsi="Times New Roman" w:eastAsia="仿宋_GB2312"/>
          <w:color w:val="000000"/>
          <w:sz w:val="28"/>
          <w:szCs w:val="28"/>
        </w:rPr>
        <w:t>核心技术及其配套技术主要内容，3000字以内</w:t>
      </w:r>
      <w:r>
        <w:rPr>
          <w:rFonts w:eastAsia="黑体"/>
          <w:color w:val="000000"/>
          <w:sz w:val="28"/>
          <w:szCs w:val="28"/>
        </w:rPr>
        <w:t>）</w:t>
      </w:r>
    </w:p>
    <w:p>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ascii="仿宋" w:hAnsi="仿宋" w:eastAsia="仿宋" w:cs="仿宋"/>
          <w:color w:val="000000"/>
          <w:kern w:val="0"/>
          <w:sz w:val="28"/>
          <w:szCs w:val="28"/>
          <w:lang w:val="en-US" w:eastAsia="zh-CN" w:bidi="ar"/>
        </w:rPr>
        <w:t>水稻秸秆提质加工饲料化利用技术路线图详见图</w:t>
      </w:r>
      <w:r>
        <w:rPr>
          <w:rFonts w:hint="default" w:ascii="Times New Roman" w:hAnsi="Times New Roman" w:eastAsia="宋体" w:cs="Times New Roman"/>
          <w:color w:val="000000"/>
          <w:kern w:val="0"/>
          <w:sz w:val="28"/>
          <w:szCs w:val="28"/>
          <w:lang w:val="en-US" w:eastAsia="zh-CN" w:bidi="ar"/>
        </w:rPr>
        <w:t>1</w:t>
      </w:r>
      <w:r>
        <w:rPr>
          <w:rFonts w:hint="eastAsia" w:ascii="仿宋" w:hAnsi="仿宋" w:eastAsia="仿宋" w:cs="仿宋"/>
          <w:color w:val="000000"/>
          <w:kern w:val="0"/>
          <w:sz w:val="28"/>
          <w:szCs w:val="28"/>
          <w:lang w:val="en-US" w:eastAsia="zh-CN" w:bidi="ar"/>
        </w:rPr>
        <w:t xml:space="preserve">。 </w:t>
      </w:r>
    </w:p>
    <w:p>
      <w:pPr>
        <w:keepNext w:val="0"/>
        <w:keepLines w:val="0"/>
        <w:widowControl/>
        <w:suppressLineNumbers w:val="0"/>
        <w:ind w:left="0" w:leftChars="0" w:firstLine="0" w:firstLineChars="0"/>
        <w:jc w:val="center"/>
        <w:rPr>
          <w:rFonts w:hint="eastAsia" w:ascii="仿宋" w:hAnsi="仿宋" w:eastAsia="仿宋" w:cs="仿宋"/>
          <w:color w:val="000000"/>
          <w:kern w:val="0"/>
          <w:sz w:val="28"/>
          <w:szCs w:val="28"/>
          <w:lang w:val="en-US" w:eastAsia="zh-CN" w:bidi="ar"/>
        </w:rPr>
      </w:pPr>
      <w:r>
        <w:drawing>
          <wp:inline distT="0" distB="0" distL="114300" distR="114300">
            <wp:extent cx="4821555" cy="6457950"/>
            <wp:effectExtent l="0" t="0" r="4445" b="635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8"/>
                    <a:stretch>
                      <a:fillRect/>
                    </a:stretch>
                  </pic:blipFill>
                  <pic:spPr>
                    <a:xfrm>
                      <a:off x="0" y="0"/>
                      <a:ext cx="4821555" cy="6457950"/>
                    </a:xfrm>
                    <a:prstGeom prst="rect">
                      <a:avLst/>
                    </a:prstGeom>
                    <a:noFill/>
                    <a:ln>
                      <a:noFill/>
                    </a:ln>
                  </pic:spPr>
                </pic:pic>
              </a:graphicData>
            </a:graphic>
          </wp:inline>
        </w:drawing>
      </w:r>
    </w:p>
    <w:p>
      <w:pPr>
        <w:keepNext w:val="0"/>
        <w:keepLines w:val="0"/>
        <w:widowControl/>
        <w:suppressLineNumbers w:val="0"/>
        <w:jc w:val="left"/>
        <w:rPr>
          <w:sz w:val="28"/>
          <w:szCs w:val="28"/>
        </w:rPr>
      </w:pPr>
      <w:r>
        <w:rPr>
          <w:rFonts w:hint="eastAsia" w:ascii="仿宋" w:hAnsi="仿宋" w:eastAsia="仿宋" w:cs="仿宋"/>
          <w:color w:val="000000"/>
          <w:kern w:val="0"/>
          <w:sz w:val="28"/>
          <w:szCs w:val="28"/>
          <w:lang w:val="en-US" w:eastAsia="zh-CN" w:bidi="ar"/>
        </w:rPr>
        <w:t xml:space="preserve">配套技术主要内容： </w:t>
      </w:r>
    </w:p>
    <w:p>
      <w:pPr>
        <w:keepNext w:val="0"/>
        <w:keepLines w:val="0"/>
        <w:widowControl/>
        <w:suppressLineNumbers w:val="0"/>
        <w:jc w:val="left"/>
        <w:rPr>
          <w:sz w:val="28"/>
          <w:szCs w:val="28"/>
        </w:rPr>
      </w:pPr>
      <w:r>
        <w:rPr>
          <w:rFonts w:hint="default" w:ascii="Times New Roman" w:hAnsi="Times New Roman" w:eastAsia="宋体" w:cs="Times New Roman"/>
          <w:color w:val="000000"/>
          <w:kern w:val="0"/>
          <w:sz w:val="28"/>
          <w:szCs w:val="28"/>
          <w:lang w:val="en-US" w:eastAsia="zh-CN" w:bidi="ar"/>
        </w:rPr>
        <w:t>1</w:t>
      </w:r>
      <w:r>
        <w:rPr>
          <w:rFonts w:hint="eastAsia" w:ascii="仿宋" w:hAnsi="仿宋" w:eastAsia="仿宋" w:cs="仿宋"/>
          <w:color w:val="000000"/>
          <w:kern w:val="0"/>
          <w:sz w:val="28"/>
          <w:szCs w:val="28"/>
          <w:lang w:val="en-US" w:eastAsia="zh-CN" w:bidi="ar"/>
        </w:rPr>
        <w:t xml:space="preserve">、水稻秸秆黄贮时间选择 </w:t>
      </w:r>
    </w:p>
    <w:p>
      <w:pPr>
        <w:keepNext w:val="0"/>
        <w:keepLines w:val="0"/>
        <w:widowControl/>
        <w:suppressLineNumbers w:val="0"/>
        <w:jc w:val="left"/>
        <w:rPr>
          <w:sz w:val="28"/>
          <w:szCs w:val="28"/>
        </w:rPr>
      </w:pPr>
      <w:r>
        <w:rPr>
          <w:rFonts w:hint="eastAsia" w:ascii="仿宋" w:hAnsi="仿宋" w:eastAsia="仿宋" w:cs="仿宋"/>
          <w:color w:val="000000"/>
          <w:kern w:val="0"/>
          <w:sz w:val="28"/>
          <w:szCs w:val="28"/>
          <w:lang w:val="en-US" w:eastAsia="zh-CN" w:bidi="ar"/>
        </w:rPr>
        <w:t>根据水稻生理特性以及黄贮试验，水稻刈割切碎后，装入密封袋抽真空模拟裹包，黄贮时间延长至</w:t>
      </w:r>
      <w:r>
        <w:rPr>
          <w:rFonts w:hint="default" w:ascii="Times New Roman" w:hAnsi="Times New Roman" w:eastAsia="宋体" w:cs="Times New Roman"/>
          <w:color w:val="000000"/>
          <w:kern w:val="0"/>
          <w:sz w:val="28"/>
          <w:szCs w:val="28"/>
          <w:lang w:val="en-US" w:eastAsia="zh-CN" w:bidi="ar"/>
        </w:rPr>
        <w:t>60</w:t>
      </w:r>
      <w:r>
        <w:rPr>
          <w:rFonts w:hint="eastAsia" w:ascii="仿宋" w:hAnsi="仿宋" w:eastAsia="仿宋" w:cs="仿宋"/>
          <w:color w:val="000000"/>
          <w:kern w:val="0"/>
          <w:sz w:val="28"/>
          <w:szCs w:val="28"/>
          <w:lang w:val="en-US" w:eastAsia="zh-CN" w:bidi="ar"/>
        </w:rPr>
        <w:t xml:space="preserve">天以上再饲用，营养价值更佳，为合理利用水稻秸秆提供科学依据。 </w:t>
      </w:r>
    </w:p>
    <w:p>
      <w:pPr>
        <w:keepNext w:val="0"/>
        <w:keepLines w:val="0"/>
        <w:widowControl/>
        <w:suppressLineNumbers w:val="0"/>
        <w:jc w:val="left"/>
        <w:rPr>
          <w:sz w:val="28"/>
          <w:szCs w:val="28"/>
        </w:rPr>
      </w:pPr>
      <w:r>
        <w:rPr>
          <w:rFonts w:hint="default" w:ascii="Times New Roman" w:hAnsi="Times New Roman" w:eastAsia="宋体" w:cs="Times New Roman"/>
          <w:color w:val="000000"/>
          <w:kern w:val="0"/>
          <w:sz w:val="28"/>
          <w:szCs w:val="28"/>
          <w:lang w:val="en-US" w:eastAsia="zh-CN" w:bidi="ar"/>
        </w:rPr>
        <w:t>2</w:t>
      </w:r>
      <w:r>
        <w:rPr>
          <w:rFonts w:hint="eastAsia" w:ascii="仿宋" w:hAnsi="仿宋" w:eastAsia="仿宋" w:cs="仿宋"/>
          <w:color w:val="000000"/>
          <w:kern w:val="0"/>
          <w:sz w:val="28"/>
          <w:szCs w:val="28"/>
          <w:lang w:val="en-US" w:eastAsia="zh-CN" w:bidi="ar"/>
        </w:rPr>
        <w:t xml:space="preserve">、水稻秸秆添加剂选择 </w:t>
      </w:r>
    </w:p>
    <w:p>
      <w:pPr>
        <w:keepNext w:val="0"/>
        <w:keepLines w:val="0"/>
        <w:widowControl/>
        <w:suppressLineNumbers w:val="0"/>
        <w:jc w:val="left"/>
        <w:rPr>
          <w:sz w:val="28"/>
          <w:szCs w:val="28"/>
        </w:rPr>
      </w:pPr>
      <w:r>
        <w:rPr>
          <w:rFonts w:hint="eastAsia" w:ascii="仿宋" w:hAnsi="仿宋" w:eastAsia="仿宋" w:cs="仿宋"/>
          <w:color w:val="000000"/>
          <w:kern w:val="0"/>
          <w:sz w:val="28"/>
          <w:szCs w:val="28"/>
          <w:lang w:val="en-US" w:eastAsia="zh-CN" w:bidi="ar"/>
        </w:rPr>
        <w:t>根据添加剂的作用特性，集成组装不同添加剂对水稻秸秆进行处理，推荐以植物乳杆菌为主要添加剂的前提下，辅</w:t>
      </w:r>
      <w:r>
        <w:rPr>
          <w:rFonts w:ascii="仿宋" w:hAnsi="仿宋" w:eastAsia="仿宋" w:cs="仿宋"/>
          <w:color w:val="000000"/>
          <w:kern w:val="0"/>
          <w:sz w:val="28"/>
          <w:szCs w:val="28"/>
          <w:lang w:val="en-US" w:eastAsia="zh-CN" w:bidi="ar"/>
        </w:rPr>
        <w:t>助添加粪肠球菌、纤维素酶和半纤维素酶，以此获得营养价</w:t>
      </w:r>
      <w:r>
        <w:rPr>
          <w:rFonts w:hint="eastAsia" w:ascii="仿宋" w:hAnsi="仿宋" w:eastAsia="仿宋" w:cs="仿宋"/>
          <w:color w:val="000000"/>
          <w:kern w:val="0"/>
          <w:sz w:val="28"/>
          <w:szCs w:val="28"/>
          <w:lang w:val="en-US" w:eastAsia="zh-CN" w:bidi="ar"/>
        </w:rPr>
        <w:t>值更佳的水稻秸秆黄贮。</w:t>
      </w:r>
    </w:p>
    <w:p>
      <w:pPr>
        <w:keepNext w:val="0"/>
        <w:keepLines w:val="0"/>
        <w:widowControl/>
        <w:suppressLineNumbers w:val="0"/>
        <w:jc w:val="left"/>
        <w:rPr>
          <w:sz w:val="28"/>
          <w:szCs w:val="28"/>
        </w:rPr>
      </w:pPr>
      <w:r>
        <w:rPr>
          <w:rFonts w:hint="default" w:ascii="Times New Roman" w:hAnsi="Times New Roman" w:eastAsia="宋体" w:cs="Times New Roman"/>
          <w:color w:val="000000"/>
          <w:kern w:val="0"/>
          <w:sz w:val="28"/>
          <w:szCs w:val="28"/>
          <w:lang w:val="en-US" w:eastAsia="zh-CN" w:bidi="ar"/>
        </w:rPr>
        <w:t>3</w:t>
      </w:r>
      <w:r>
        <w:rPr>
          <w:rFonts w:ascii="仿宋" w:hAnsi="仿宋" w:eastAsia="仿宋" w:cs="仿宋"/>
          <w:color w:val="000000"/>
          <w:kern w:val="0"/>
          <w:sz w:val="28"/>
          <w:szCs w:val="28"/>
          <w:lang w:val="en-US" w:eastAsia="zh-CN" w:bidi="ar"/>
        </w:rPr>
        <w:t xml:space="preserve">、水稻秸秆混合提质发酵 </w:t>
      </w:r>
    </w:p>
    <w:p>
      <w:pPr>
        <w:keepNext w:val="0"/>
        <w:keepLines w:val="0"/>
        <w:widowControl/>
        <w:suppressLineNumbers w:val="0"/>
        <w:jc w:val="left"/>
        <w:rPr>
          <w:sz w:val="28"/>
          <w:szCs w:val="28"/>
        </w:rPr>
      </w:pPr>
      <w:r>
        <w:rPr>
          <w:rFonts w:hint="eastAsia" w:ascii="仿宋" w:hAnsi="仿宋" w:eastAsia="仿宋" w:cs="仿宋"/>
          <w:color w:val="000000"/>
          <w:kern w:val="0"/>
          <w:sz w:val="28"/>
          <w:szCs w:val="28"/>
          <w:lang w:val="en-US" w:eastAsia="zh-CN" w:bidi="ar"/>
        </w:rPr>
        <w:t>根据水稻与菌糠特性，集成水稻秸秆与菌糠</w:t>
      </w:r>
      <w:r>
        <w:rPr>
          <w:rFonts w:hint="default" w:ascii="Times New Roman" w:hAnsi="Times New Roman" w:eastAsia="宋体" w:cs="Times New Roman"/>
          <w:color w:val="000000"/>
          <w:kern w:val="0"/>
          <w:sz w:val="28"/>
          <w:szCs w:val="28"/>
          <w:lang w:val="en-US" w:eastAsia="zh-CN" w:bidi="ar"/>
        </w:rPr>
        <w:t>/</w:t>
      </w:r>
      <w:r>
        <w:rPr>
          <w:rFonts w:hint="eastAsia" w:ascii="仿宋" w:hAnsi="仿宋" w:eastAsia="仿宋" w:cs="仿宋"/>
          <w:color w:val="000000"/>
          <w:kern w:val="0"/>
          <w:sz w:val="28"/>
          <w:szCs w:val="28"/>
          <w:lang w:val="en-US" w:eastAsia="zh-CN" w:bidi="ar"/>
        </w:rPr>
        <w:t>乳酸菌混合发酵，通过黄贮营养水平测定和体外发酵技术，选择最适配套组合。通过添加适量酶菌制剂，以及通过添加菌糠等农业副产物混合发酵等水稻型粗饲料提质加工技术，根据水稻秸秆的特征特性分别制定了配套的发酵加工技术（《不同稻秸平菇菌糠营养成分差异及其体外瘤胃发酵特性》，中国畜牧学报，</w:t>
      </w:r>
      <w:r>
        <w:rPr>
          <w:rFonts w:hint="default" w:ascii="Times New Roman" w:hAnsi="Times New Roman" w:eastAsia="宋体" w:cs="Times New Roman"/>
          <w:color w:val="000000"/>
          <w:kern w:val="0"/>
          <w:sz w:val="28"/>
          <w:szCs w:val="28"/>
          <w:lang w:val="en-US" w:eastAsia="zh-CN" w:bidi="ar"/>
        </w:rPr>
        <w:t>2020</w:t>
      </w:r>
      <w:r>
        <w:rPr>
          <w:rFonts w:hint="eastAsia" w:ascii="仿宋" w:hAnsi="仿宋" w:eastAsia="仿宋" w:cs="仿宋"/>
          <w:color w:val="000000"/>
          <w:kern w:val="0"/>
          <w:sz w:val="28"/>
          <w:szCs w:val="28"/>
          <w:lang w:val="en-US" w:eastAsia="zh-CN" w:bidi="ar"/>
        </w:rPr>
        <w:t>年第</w:t>
      </w:r>
      <w:r>
        <w:rPr>
          <w:rFonts w:hint="default" w:ascii="Times New Roman" w:hAnsi="Times New Roman" w:eastAsia="宋体" w:cs="Times New Roman"/>
          <w:color w:val="000000"/>
          <w:kern w:val="0"/>
          <w:sz w:val="28"/>
          <w:szCs w:val="28"/>
          <w:lang w:val="en-US" w:eastAsia="zh-CN" w:bidi="ar"/>
        </w:rPr>
        <w:t>53</w:t>
      </w:r>
      <w:r>
        <w:rPr>
          <w:rFonts w:hint="eastAsia" w:ascii="仿宋" w:hAnsi="仿宋" w:eastAsia="仿宋" w:cs="仿宋"/>
          <w:color w:val="000000"/>
          <w:kern w:val="0"/>
          <w:sz w:val="28"/>
          <w:szCs w:val="28"/>
          <w:lang w:val="en-US" w:eastAsia="zh-CN" w:bidi="ar"/>
        </w:rPr>
        <w:t>卷第</w:t>
      </w:r>
      <w:r>
        <w:rPr>
          <w:rFonts w:hint="default" w:ascii="Times New Roman" w:hAnsi="Times New Roman" w:eastAsia="宋体" w:cs="Times New Roman"/>
          <w:color w:val="000000"/>
          <w:kern w:val="0"/>
          <w:sz w:val="28"/>
          <w:szCs w:val="28"/>
          <w:lang w:val="en-US" w:eastAsia="zh-CN" w:bidi="ar"/>
        </w:rPr>
        <w:t>7</w:t>
      </w:r>
      <w:r>
        <w:rPr>
          <w:rFonts w:hint="eastAsia" w:ascii="仿宋" w:hAnsi="仿宋" w:eastAsia="仿宋" w:cs="仿宋"/>
          <w:color w:val="000000"/>
          <w:kern w:val="0"/>
          <w:sz w:val="28"/>
          <w:szCs w:val="28"/>
          <w:lang w:val="en-US" w:eastAsia="zh-CN" w:bidi="ar"/>
        </w:rPr>
        <w:t>期）</w:t>
      </w:r>
    </w:p>
    <w:p>
      <w:pPr>
        <w:numPr>
          <w:ilvl w:val="0"/>
          <w:numId w:val="1"/>
        </w:numPr>
        <w:ind w:firstLine="632"/>
        <w:rPr>
          <w:rFonts w:eastAsia="黑体"/>
          <w:b/>
          <w:bCs/>
          <w:color w:val="000000"/>
          <w:sz w:val="28"/>
          <w:szCs w:val="28"/>
        </w:rPr>
      </w:pPr>
      <w:r>
        <w:rPr>
          <w:rFonts w:eastAsia="黑体"/>
          <w:color w:val="000000"/>
          <w:szCs w:val="32"/>
        </w:rPr>
        <w:t>适宜区域</w:t>
      </w:r>
      <w:r>
        <w:rPr>
          <w:rFonts w:eastAsia="黑体"/>
          <w:b/>
          <w:bCs/>
          <w:color w:val="000000"/>
          <w:sz w:val="28"/>
          <w:szCs w:val="28"/>
        </w:rPr>
        <w:t>（</w:t>
      </w:r>
      <w:r>
        <w:rPr>
          <w:rFonts w:hint="eastAsia" w:ascii="仿宋_GB2312" w:hAnsi="Times New Roman" w:eastAsia="仿宋_GB2312" w:cs="Times New Roman"/>
          <w:b/>
          <w:bCs/>
          <w:color w:val="000000"/>
          <w:sz w:val="28"/>
          <w:szCs w:val="28"/>
        </w:rPr>
        <w:t>推广应用的主要区域</w:t>
      </w:r>
      <w:r>
        <w:rPr>
          <w:rFonts w:eastAsia="黑体"/>
          <w:b/>
          <w:bCs/>
          <w:color w:val="000000"/>
          <w:sz w:val="28"/>
          <w:szCs w:val="28"/>
        </w:rPr>
        <w:t>）</w:t>
      </w:r>
    </w:p>
    <w:p>
      <w:pPr>
        <w:keepNext w:val="0"/>
        <w:keepLines w:val="0"/>
        <w:widowControl/>
        <w:suppressLineNumbers w:val="0"/>
        <w:jc w:val="left"/>
        <w:rPr>
          <w:sz w:val="28"/>
          <w:szCs w:val="28"/>
        </w:rPr>
      </w:pPr>
      <w:r>
        <w:rPr>
          <w:rFonts w:ascii="仿宋" w:hAnsi="仿宋" w:eastAsia="仿宋" w:cs="仿宋"/>
          <w:color w:val="000000"/>
          <w:kern w:val="0"/>
          <w:sz w:val="28"/>
          <w:szCs w:val="28"/>
          <w:lang w:val="en-US" w:eastAsia="zh-CN" w:bidi="ar"/>
        </w:rPr>
        <w:t>本技术创建的水稻秸秆提质饲料化利用模式适合南方</w:t>
      </w:r>
      <w:r>
        <w:rPr>
          <w:rFonts w:hint="eastAsia" w:ascii="仿宋" w:hAnsi="仿宋" w:eastAsia="仿宋" w:cs="仿宋"/>
          <w:color w:val="000000"/>
          <w:kern w:val="0"/>
          <w:sz w:val="28"/>
          <w:szCs w:val="28"/>
          <w:lang w:val="en-US" w:eastAsia="zh-CN" w:bidi="ar"/>
        </w:rPr>
        <w:t xml:space="preserve">所有水稻种植地区，可通过以下几种措施进行成果推广应用： </w:t>
      </w:r>
    </w:p>
    <w:p>
      <w:pPr>
        <w:keepNext w:val="0"/>
        <w:keepLines w:val="0"/>
        <w:widowControl/>
        <w:suppressLineNumbers w:val="0"/>
        <w:jc w:val="left"/>
        <w:rPr>
          <w:sz w:val="28"/>
          <w:szCs w:val="28"/>
        </w:rPr>
      </w:pPr>
      <w:r>
        <w:rPr>
          <w:rFonts w:hint="eastAsia" w:ascii="仿宋" w:hAnsi="仿宋" w:eastAsia="仿宋" w:cs="仿宋"/>
          <w:color w:val="000000"/>
          <w:kern w:val="0"/>
          <w:sz w:val="28"/>
          <w:szCs w:val="28"/>
          <w:lang w:val="en-US" w:eastAsia="zh-CN" w:bidi="ar"/>
        </w:rPr>
        <w:t>（</w:t>
      </w:r>
      <w:r>
        <w:rPr>
          <w:rFonts w:hint="default" w:ascii="Times New Roman" w:hAnsi="Times New Roman" w:eastAsia="宋体" w:cs="Times New Roman"/>
          <w:color w:val="000000"/>
          <w:kern w:val="0"/>
          <w:sz w:val="28"/>
          <w:szCs w:val="28"/>
          <w:lang w:val="en-US" w:eastAsia="zh-CN" w:bidi="ar"/>
        </w:rPr>
        <w:t>1</w:t>
      </w:r>
      <w:r>
        <w:rPr>
          <w:rFonts w:hint="eastAsia" w:ascii="仿宋" w:hAnsi="仿宋" w:eastAsia="仿宋" w:cs="仿宋"/>
          <w:color w:val="000000"/>
          <w:kern w:val="0"/>
          <w:sz w:val="28"/>
          <w:szCs w:val="28"/>
          <w:lang w:val="en-US" w:eastAsia="zh-CN" w:bidi="ar"/>
        </w:rPr>
        <w:t>）采取“科研单位</w:t>
      </w:r>
      <w:r>
        <w:rPr>
          <w:rFonts w:hint="default" w:ascii="Times New Roman" w:hAnsi="Times New Roman" w:eastAsia="宋体" w:cs="Times New Roman"/>
          <w:color w:val="000000"/>
          <w:kern w:val="0"/>
          <w:sz w:val="28"/>
          <w:szCs w:val="28"/>
          <w:lang w:val="en-US" w:eastAsia="zh-CN" w:bidi="ar"/>
        </w:rPr>
        <w:t>+</w:t>
      </w:r>
      <w:r>
        <w:rPr>
          <w:rFonts w:hint="eastAsia" w:ascii="仿宋" w:hAnsi="仿宋" w:eastAsia="仿宋" w:cs="仿宋"/>
          <w:color w:val="000000"/>
          <w:kern w:val="0"/>
          <w:sz w:val="28"/>
          <w:szCs w:val="28"/>
          <w:lang w:val="en-US" w:eastAsia="zh-CN" w:bidi="ar"/>
        </w:rPr>
        <w:t>企业</w:t>
      </w:r>
      <w:r>
        <w:rPr>
          <w:rFonts w:hint="default" w:ascii="Times New Roman" w:hAnsi="Times New Roman" w:eastAsia="宋体" w:cs="Times New Roman"/>
          <w:color w:val="000000"/>
          <w:kern w:val="0"/>
          <w:sz w:val="28"/>
          <w:szCs w:val="28"/>
          <w:lang w:val="en-US" w:eastAsia="zh-CN" w:bidi="ar"/>
        </w:rPr>
        <w:t>+</w:t>
      </w:r>
      <w:r>
        <w:rPr>
          <w:rFonts w:hint="eastAsia" w:ascii="仿宋" w:hAnsi="仿宋" w:eastAsia="仿宋" w:cs="仿宋"/>
          <w:color w:val="000000"/>
          <w:kern w:val="0"/>
          <w:sz w:val="28"/>
          <w:szCs w:val="28"/>
          <w:lang w:val="en-US" w:eastAsia="zh-CN" w:bidi="ar"/>
        </w:rPr>
        <w:t>农技推广部门</w:t>
      </w:r>
      <w:r>
        <w:rPr>
          <w:rFonts w:hint="default" w:ascii="Times New Roman" w:hAnsi="Times New Roman" w:eastAsia="宋体" w:cs="Times New Roman"/>
          <w:color w:val="000000"/>
          <w:kern w:val="0"/>
          <w:sz w:val="28"/>
          <w:szCs w:val="28"/>
          <w:lang w:val="en-US" w:eastAsia="zh-CN" w:bidi="ar"/>
        </w:rPr>
        <w:t>+</w:t>
      </w:r>
      <w:r>
        <w:rPr>
          <w:rFonts w:hint="eastAsia" w:ascii="仿宋" w:hAnsi="仿宋" w:eastAsia="仿宋" w:cs="仿宋"/>
          <w:color w:val="000000"/>
          <w:kern w:val="0"/>
          <w:sz w:val="28"/>
          <w:szCs w:val="28"/>
          <w:lang w:val="en-US" w:eastAsia="zh-CN" w:bidi="ar"/>
        </w:rPr>
        <w:t>养殖户</w:t>
      </w:r>
      <w:r>
        <w:rPr>
          <w:rFonts w:hint="default" w:ascii="Times New Roman" w:hAnsi="Times New Roman" w:eastAsia="宋体" w:cs="Times New Roman"/>
          <w:color w:val="000000"/>
          <w:kern w:val="0"/>
          <w:sz w:val="28"/>
          <w:szCs w:val="28"/>
          <w:lang w:val="en-US" w:eastAsia="zh-CN" w:bidi="ar"/>
        </w:rPr>
        <w:t>/</w:t>
      </w:r>
      <w:r>
        <w:rPr>
          <w:rFonts w:hint="eastAsia" w:ascii="仿宋" w:hAnsi="仿宋" w:eastAsia="仿宋" w:cs="仿宋"/>
          <w:color w:val="000000"/>
          <w:kern w:val="0"/>
          <w:sz w:val="28"/>
          <w:szCs w:val="28"/>
          <w:lang w:val="en-US" w:eastAsia="zh-CN" w:bidi="ar"/>
        </w:rPr>
        <w:t xml:space="preserve">农户”推广模式。 </w:t>
      </w:r>
    </w:p>
    <w:p>
      <w:pPr>
        <w:keepNext w:val="0"/>
        <w:keepLines w:val="0"/>
        <w:widowControl/>
        <w:suppressLineNumbers w:val="0"/>
        <w:jc w:val="left"/>
        <w:rPr>
          <w:sz w:val="28"/>
          <w:szCs w:val="28"/>
        </w:rPr>
      </w:pPr>
      <w:r>
        <w:rPr>
          <w:rFonts w:hint="eastAsia" w:ascii="仿宋" w:hAnsi="仿宋" w:eastAsia="仿宋" w:cs="仿宋"/>
          <w:color w:val="000000"/>
          <w:kern w:val="0"/>
          <w:sz w:val="28"/>
          <w:szCs w:val="28"/>
          <w:lang w:val="en-US" w:eastAsia="zh-CN" w:bidi="ar"/>
        </w:rPr>
        <w:t>（</w:t>
      </w:r>
      <w:r>
        <w:rPr>
          <w:rFonts w:hint="default" w:ascii="Times New Roman" w:hAnsi="Times New Roman" w:eastAsia="宋体" w:cs="Times New Roman"/>
          <w:color w:val="000000"/>
          <w:kern w:val="0"/>
          <w:sz w:val="28"/>
          <w:szCs w:val="28"/>
          <w:lang w:val="en-US" w:eastAsia="zh-CN" w:bidi="ar"/>
        </w:rPr>
        <w:t>2</w:t>
      </w:r>
      <w:r>
        <w:rPr>
          <w:rFonts w:hint="eastAsia" w:ascii="仿宋" w:hAnsi="仿宋" w:eastAsia="仿宋" w:cs="仿宋"/>
          <w:color w:val="000000"/>
          <w:kern w:val="0"/>
          <w:sz w:val="28"/>
          <w:szCs w:val="28"/>
          <w:lang w:val="en-US" w:eastAsia="zh-CN" w:bidi="ar"/>
        </w:rPr>
        <w:t xml:space="preserve">）举办多形式的水稻提质加工技术现场会和技术培训班。 </w:t>
      </w:r>
    </w:p>
    <w:p>
      <w:pPr>
        <w:keepNext w:val="0"/>
        <w:keepLines w:val="0"/>
        <w:widowControl/>
        <w:suppressLineNumbers w:val="0"/>
        <w:jc w:val="left"/>
        <w:rPr>
          <w:sz w:val="28"/>
          <w:szCs w:val="28"/>
        </w:rPr>
      </w:pPr>
      <w:r>
        <w:rPr>
          <w:rFonts w:hint="eastAsia" w:ascii="仿宋" w:hAnsi="仿宋" w:eastAsia="仿宋" w:cs="仿宋"/>
          <w:color w:val="000000"/>
          <w:kern w:val="0"/>
          <w:sz w:val="28"/>
          <w:szCs w:val="28"/>
          <w:lang w:val="en-US" w:eastAsia="zh-CN" w:bidi="ar"/>
        </w:rPr>
        <w:t>（</w:t>
      </w:r>
      <w:r>
        <w:rPr>
          <w:rFonts w:hint="default" w:ascii="Times New Roman" w:hAnsi="Times New Roman" w:eastAsia="宋体" w:cs="Times New Roman"/>
          <w:color w:val="000000"/>
          <w:kern w:val="0"/>
          <w:sz w:val="28"/>
          <w:szCs w:val="28"/>
          <w:lang w:val="en-US" w:eastAsia="zh-CN" w:bidi="ar"/>
        </w:rPr>
        <w:t>3</w:t>
      </w:r>
      <w:r>
        <w:rPr>
          <w:rFonts w:hint="eastAsia" w:ascii="仿宋" w:hAnsi="仿宋" w:eastAsia="仿宋" w:cs="仿宋"/>
          <w:color w:val="000000"/>
          <w:kern w:val="0"/>
          <w:sz w:val="28"/>
          <w:szCs w:val="28"/>
          <w:lang w:val="en-US" w:eastAsia="zh-CN" w:bidi="ar"/>
        </w:rPr>
        <w:t>）建立水稻提质发酵技术，以稻秸高效提质技术为支撑，推动水稻型粗饲料提质加工进村入户，充分挖掘水稻增产增效，降低草食动物养殖过程粗饲料的成本。</w:t>
      </w:r>
    </w:p>
    <w:p>
      <w:pPr>
        <w:keepNext w:val="0"/>
        <w:keepLines w:val="0"/>
        <w:widowControl/>
        <w:suppressLineNumbers w:val="0"/>
        <w:jc w:val="left"/>
        <w:rPr>
          <w:sz w:val="28"/>
          <w:szCs w:val="28"/>
        </w:rPr>
      </w:pPr>
      <w:r>
        <w:rPr>
          <w:rFonts w:hint="eastAsia" w:ascii="仿宋" w:hAnsi="仿宋" w:eastAsia="仿宋" w:cs="仿宋"/>
          <w:color w:val="000000"/>
          <w:kern w:val="0"/>
          <w:sz w:val="28"/>
          <w:szCs w:val="28"/>
          <w:lang w:val="en-US" w:eastAsia="zh-CN" w:bidi="ar"/>
        </w:rPr>
        <w:t>（</w:t>
      </w:r>
      <w:r>
        <w:rPr>
          <w:rFonts w:hint="default" w:ascii="Times New Roman" w:hAnsi="Times New Roman" w:eastAsia="宋体" w:cs="Times New Roman"/>
          <w:color w:val="000000"/>
          <w:kern w:val="0"/>
          <w:sz w:val="28"/>
          <w:szCs w:val="28"/>
          <w:lang w:val="en-US" w:eastAsia="zh-CN" w:bidi="ar"/>
        </w:rPr>
        <w:t>4</w:t>
      </w:r>
      <w:r>
        <w:rPr>
          <w:rFonts w:hint="eastAsia" w:ascii="仿宋" w:hAnsi="仿宋" w:eastAsia="仿宋" w:cs="仿宋"/>
          <w:color w:val="000000"/>
          <w:kern w:val="0"/>
          <w:sz w:val="28"/>
          <w:szCs w:val="28"/>
          <w:lang w:val="en-US" w:eastAsia="zh-CN" w:bidi="ar"/>
        </w:rPr>
        <w:t xml:space="preserve">）建立示范区，以水稻黄贮饲用为举措，实行种养结合，拉长产业链条，提升种植户和养殖户综合效益。 </w:t>
      </w:r>
    </w:p>
    <w:p>
      <w:pPr>
        <w:keepNext w:val="0"/>
        <w:keepLines w:val="0"/>
        <w:widowControl/>
        <w:suppressLineNumbers w:val="0"/>
        <w:jc w:val="left"/>
        <w:rPr>
          <w:rFonts w:eastAsia="黑体"/>
          <w:b/>
          <w:bCs/>
          <w:color w:val="000000"/>
          <w:sz w:val="28"/>
          <w:szCs w:val="28"/>
        </w:rPr>
      </w:pPr>
      <w:r>
        <w:rPr>
          <w:rFonts w:hint="eastAsia" w:ascii="仿宋" w:hAnsi="仿宋" w:eastAsia="仿宋" w:cs="仿宋"/>
          <w:color w:val="000000"/>
          <w:kern w:val="0"/>
          <w:sz w:val="28"/>
          <w:szCs w:val="28"/>
          <w:lang w:val="en-US" w:eastAsia="zh-CN" w:bidi="ar"/>
        </w:rPr>
        <w:t>（</w:t>
      </w:r>
      <w:r>
        <w:rPr>
          <w:rFonts w:hint="default" w:ascii="Times New Roman" w:hAnsi="Times New Roman" w:eastAsia="宋体" w:cs="Times New Roman"/>
          <w:color w:val="000000"/>
          <w:kern w:val="0"/>
          <w:sz w:val="28"/>
          <w:szCs w:val="28"/>
          <w:lang w:val="en-US" w:eastAsia="zh-CN" w:bidi="ar"/>
        </w:rPr>
        <w:t>5</w:t>
      </w:r>
      <w:r>
        <w:rPr>
          <w:rFonts w:hint="eastAsia" w:ascii="仿宋" w:hAnsi="仿宋" w:eastAsia="仿宋" w:cs="仿宋"/>
          <w:color w:val="000000"/>
          <w:kern w:val="0"/>
          <w:sz w:val="28"/>
          <w:szCs w:val="28"/>
          <w:lang w:val="en-US" w:eastAsia="zh-CN" w:bidi="ar"/>
        </w:rPr>
        <w:t>）利用现场咨询、专题讲座、发放技术资料等形式进行技术宣传，提高技术普及率。</w:t>
      </w:r>
    </w:p>
    <w:p>
      <w:pPr>
        <w:ind w:firstLine="632"/>
        <w:rPr>
          <w:rFonts w:eastAsia="黑体"/>
          <w:b/>
          <w:bCs/>
          <w:color w:val="000000"/>
          <w:sz w:val="28"/>
          <w:szCs w:val="28"/>
        </w:rPr>
      </w:pPr>
      <w:r>
        <w:rPr>
          <w:rFonts w:eastAsia="黑体"/>
          <w:color w:val="000000"/>
          <w:szCs w:val="32"/>
        </w:rPr>
        <w:t>四、注意事项</w:t>
      </w:r>
      <w:r>
        <w:rPr>
          <w:rFonts w:eastAsia="黑体"/>
          <w:b/>
          <w:bCs/>
          <w:color w:val="000000"/>
          <w:sz w:val="28"/>
          <w:szCs w:val="28"/>
        </w:rPr>
        <w:t>（</w:t>
      </w:r>
      <w:r>
        <w:rPr>
          <w:rFonts w:hint="eastAsia" w:ascii="仿宋_GB2312" w:hAnsi="Times New Roman" w:eastAsia="仿宋_GB2312" w:cs="Times New Roman"/>
          <w:b/>
          <w:bCs/>
          <w:color w:val="000000"/>
          <w:sz w:val="28"/>
          <w:szCs w:val="28"/>
        </w:rPr>
        <w:t>在技术推广应用过程中需特别注意的环节</w:t>
      </w:r>
      <w:r>
        <w:rPr>
          <w:rFonts w:eastAsia="黑体"/>
          <w:b/>
          <w:bCs/>
          <w:color w:val="000000"/>
          <w:sz w:val="28"/>
          <w:szCs w:val="28"/>
        </w:rPr>
        <w:t>）</w:t>
      </w:r>
    </w:p>
    <w:p>
      <w:pPr>
        <w:keepNext w:val="0"/>
        <w:keepLines w:val="0"/>
        <w:widowControl/>
        <w:suppressLineNumbers w:val="0"/>
        <w:jc w:val="left"/>
        <w:rPr>
          <w:sz w:val="28"/>
          <w:szCs w:val="28"/>
        </w:rPr>
      </w:pPr>
      <w:r>
        <w:rPr>
          <w:rFonts w:hint="default" w:ascii="Times New Roman" w:hAnsi="Times New Roman" w:eastAsia="宋体" w:cs="Times New Roman"/>
          <w:color w:val="000000"/>
          <w:kern w:val="0"/>
          <w:sz w:val="28"/>
          <w:szCs w:val="28"/>
          <w:lang w:val="en-US" w:eastAsia="zh-CN" w:bidi="ar"/>
        </w:rPr>
        <w:t>1</w:t>
      </w:r>
      <w:r>
        <w:rPr>
          <w:rFonts w:ascii="仿宋" w:hAnsi="仿宋" w:eastAsia="仿宋" w:cs="仿宋"/>
          <w:color w:val="000000"/>
          <w:kern w:val="0"/>
          <w:sz w:val="28"/>
          <w:szCs w:val="28"/>
          <w:lang w:val="en-US" w:eastAsia="zh-CN" w:bidi="ar"/>
        </w:rPr>
        <w:t>、适时收集水稻型粗饲料原料，待进行窖装或袋装密</w:t>
      </w:r>
      <w:r>
        <w:rPr>
          <w:rFonts w:hint="eastAsia" w:ascii="仿宋" w:hAnsi="仿宋" w:eastAsia="仿宋" w:cs="仿宋"/>
          <w:color w:val="000000"/>
          <w:kern w:val="0"/>
          <w:sz w:val="28"/>
          <w:szCs w:val="28"/>
          <w:lang w:val="en-US" w:eastAsia="zh-CN" w:bidi="ar"/>
        </w:rPr>
        <w:t xml:space="preserve">封发酵。 </w:t>
      </w:r>
    </w:p>
    <w:p>
      <w:pPr>
        <w:keepNext w:val="0"/>
        <w:keepLines w:val="0"/>
        <w:widowControl/>
        <w:suppressLineNumbers w:val="0"/>
        <w:jc w:val="left"/>
        <w:rPr>
          <w:sz w:val="28"/>
          <w:szCs w:val="28"/>
        </w:rPr>
      </w:pPr>
      <w:r>
        <w:rPr>
          <w:rFonts w:hint="default" w:ascii="Times New Roman" w:hAnsi="Times New Roman" w:eastAsia="宋体" w:cs="Times New Roman"/>
          <w:color w:val="000000"/>
          <w:kern w:val="0"/>
          <w:sz w:val="28"/>
          <w:szCs w:val="28"/>
          <w:lang w:val="en-US" w:eastAsia="zh-CN" w:bidi="ar"/>
        </w:rPr>
        <w:t>2</w:t>
      </w:r>
      <w:r>
        <w:rPr>
          <w:rFonts w:hint="eastAsia" w:ascii="仿宋" w:hAnsi="仿宋" w:eastAsia="仿宋" w:cs="仿宋"/>
          <w:color w:val="000000"/>
          <w:kern w:val="0"/>
          <w:sz w:val="28"/>
          <w:szCs w:val="28"/>
          <w:lang w:val="en-US" w:eastAsia="zh-CN" w:bidi="ar"/>
        </w:rPr>
        <w:t xml:space="preserve">、窖装发酵：窖要选在地势高燥，地表水位低，离畜舍近，制作取用方便的地方。建窖的材料可因地制宜选用，窖的四周和底部可用砖、石、沙、水泥砌成水泥池结构，也可以铺一层厚塑料薄膜制成土窖塑料薄膜池。 </w:t>
      </w:r>
    </w:p>
    <w:p>
      <w:pPr>
        <w:keepNext w:val="0"/>
        <w:keepLines w:val="0"/>
        <w:widowControl/>
        <w:suppressLineNumbers w:val="0"/>
        <w:jc w:val="left"/>
        <w:rPr>
          <w:sz w:val="28"/>
          <w:szCs w:val="28"/>
        </w:rPr>
      </w:pPr>
      <w:r>
        <w:rPr>
          <w:rFonts w:hint="default" w:ascii="Times New Roman" w:hAnsi="Times New Roman" w:eastAsia="宋体" w:cs="Times New Roman"/>
          <w:color w:val="000000"/>
          <w:kern w:val="0"/>
          <w:sz w:val="28"/>
          <w:szCs w:val="28"/>
          <w:lang w:val="en-US" w:eastAsia="zh-CN" w:bidi="ar"/>
        </w:rPr>
        <w:t>3</w:t>
      </w:r>
      <w:r>
        <w:rPr>
          <w:rFonts w:hint="eastAsia" w:ascii="仿宋" w:hAnsi="仿宋" w:eastAsia="仿宋" w:cs="仿宋"/>
          <w:color w:val="000000"/>
          <w:kern w:val="0"/>
          <w:sz w:val="28"/>
          <w:szCs w:val="28"/>
          <w:lang w:val="en-US" w:eastAsia="zh-CN" w:bidi="ar"/>
        </w:rPr>
        <w:t>、机械动力的准备：铡草机或揉草机、裹包机、动力（电动机、柴油、手扶拖拉机、农用三轮车等都可作为动力），作业前要安装、调试并固定好。物资准备：发酵活干菌、食盐（占水量的</w:t>
      </w:r>
      <w:r>
        <w:rPr>
          <w:rFonts w:hint="default" w:ascii="Times New Roman" w:hAnsi="Times New Roman" w:eastAsia="宋体" w:cs="Times New Roman"/>
          <w:color w:val="000000"/>
          <w:kern w:val="0"/>
          <w:sz w:val="28"/>
          <w:szCs w:val="28"/>
          <w:lang w:val="en-US" w:eastAsia="zh-CN" w:bidi="ar"/>
        </w:rPr>
        <w:t>1%</w:t>
      </w:r>
      <w:r>
        <w:rPr>
          <w:rFonts w:hint="eastAsia" w:ascii="仿宋" w:hAnsi="仿宋" w:eastAsia="仿宋" w:cs="仿宋"/>
          <w:color w:val="000000"/>
          <w:kern w:val="0"/>
          <w:sz w:val="28"/>
          <w:szCs w:val="28"/>
          <w:lang w:val="en-US" w:eastAsia="zh-CN" w:bidi="ar"/>
        </w:rPr>
        <w:t xml:space="preserve">）、大缸、塑料布、轮胎等。 </w:t>
      </w:r>
    </w:p>
    <w:p>
      <w:pPr>
        <w:keepNext w:val="0"/>
        <w:keepLines w:val="0"/>
        <w:widowControl/>
        <w:suppressLineNumbers w:val="0"/>
        <w:jc w:val="left"/>
        <w:rPr>
          <w:sz w:val="28"/>
          <w:szCs w:val="28"/>
        </w:rPr>
      </w:pPr>
      <w:r>
        <w:rPr>
          <w:rFonts w:hint="default" w:ascii="Times New Roman" w:hAnsi="Times New Roman" w:eastAsia="宋体" w:cs="Times New Roman"/>
          <w:color w:val="000000"/>
          <w:kern w:val="0"/>
          <w:sz w:val="28"/>
          <w:szCs w:val="28"/>
          <w:lang w:val="en-US" w:eastAsia="zh-CN" w:bidi="ar"/>
        </w:rPr>
        <w:t>4</w:t>
      </w:r>
      <w:r>
        <w:rPr>
          <w:rFonts w:hint="eastAsia" w:ascii="仿宋" w:hAnsi="仿宋" w:eastAsia="仿宋" w:cs="仿宋"/>
          <w:color w:val="000000"/>
          <w:kern w:val="0"/>
          <w:sz w:val="28"/>
          <w:szCs w:val="28"/>
          <w:lang w:val="en-US" w:eastAsia="zh-CN" w:bidi="ar"/>
        </w:rPr>
        <w:t>、复活菌种：发酵活干菌每袋</w:t>
      </w:r>
      <w:r>
        <w:rPr>
          <w:rFonts w:hint="default" w:ascii="Times New Roman" w:hAnsi="Times New Roman" w:eastAsia="宋体" w:cs="Times New Roman"/>
          <w:color w:val="000000"/>
          <w:kern w:val="0"/>
          <w:sz w:val="28"/>
          <w:szCs w:val="28"/>
          <w:lang w:val="en-US" w:eastAsia="zh-CN" w:bidi="ar"/>
        </w:rPr>
        <w:t>3</w:t>
      </w:r>
      <w:r>
        <w:rPr>
          <w:rFonts w:hint="eastAsia" w:ascii="仿宋" w:hAnsi="仿宋" w:eastAsia="仿宋" w:cs="仿宋"/>
          <w:color w:val="000000"/>
          <w:kern w:val="0"/>
          <w:sz w:val="28"/>
          <w:szCs w:val="28"/>
          <w:lang w:val="en-US" w:eastAsia="zh-CN" w:bidi="ar"/>
        </w:rPr>
        <w:t>克（具体以产品推荐用量为准），可处理秸秆</w:t>
      </w:r>
      <w:r>
        <w:rPr>
          <w:rFonts w:hint="default" w:ascii="Times New Roman" w:hAnsi="Times New Roman" w:eastAsia="宋体" w:cs="Times New Roman"/>
          <w:color w:val="000000"/>
          <w:kern w:val="0"/>
          <w:sz w:val="28"/>
          <w:szCs w:val="28"/>
          <w:lang w:val="en-US" w:eastAsia="zh-CN" w:bidi="ar"/>
        </w:rPr>
        <w:t>1</w:t>
      </w:r>
      <w:r>
        <w:rPr>
          <w:rFonts w:hint="eastAsia" w:ascii="仿宋" w:hAnsi="仿宋" w:eastAsia="仿宋" w:cs="仿宋"/>
          <w:color w:val="000000"/>
          <w:kern w:val="0"/>
          <w:sz w:val="28"/>
          <w:szCs w:val="28"/>
          <w:lang w:val="en-US" w:eastAsia="zh-CN" w:bidi="ar"/>
        </w:rPr>
        <w:t>吨或黄饲料</w:t>
      </w:r>
      <w:r>
        <w:rPr>
          <w:rFonts w:hint="default" w:ascii="Times New Roman" w:hAnsi="Times New Roman" w:eastAsia="宋体" w:cs="Times New Roman"/>
          <w:color w:val="000000"/>
          <w:kern w:val="0"/>
          <w:sz w:val="28"/>
          <w:szCs w:val="28"/>
          <w:lang w:val="en-US" w:eastAsia="zh-CN" w:bidi="ar"/>
        </w:rPr>
        <w:t>2</w:t>
      </w:r>
      <w:r>
        <w:rPr>
          <w:rFonts w:hint="eastAsia" w:ascii="仿宋" w:hAnsi="仿宋" w:eastAsia="仿宋" w:cs="仿宋"/>
          <w:color w:val="000000"/>
          <w:kern w:val="0"/>
          <w:sz w:val="28"/>
          <w:szCs w:val="28"/>
          <w:lang w:val="en-US" w:eastAsia="zh-CN" w:bidi="ar"/>
        </w:rPr>
        <w:t>吨。处理前在</w:t>
      </w:r>
      <w:r>
        <w:rPr>
          <w:rFonts w:hint="default" w:ascii="Times New Roman" w:hAnsi="Times New Roman" w:eastAsia="宋体" w:cs="Times New Roman"/>
          <w:color w:val="000000"/>
          <w:kern w:val="0"/>
          <w:sz w:val="28"/>
          <w:szCs w:val="28"/>
          <w:lang w:val="en-US" w:eastAsia="zh-CN" w:bidi="ar"/>
        </w:rPr>
        <w:t>25</w:t>
      </w:r>
      <w:r>
        <w:rPr>
          <w:rFonts w:hint="eastAsia" w:ascii="仿宋" w:hAnsi="仿宋" w:eastAsia="仿宋" w:cs="仿宋"/>
          <w:color w:val="000000"/>
          <w:kern w:val="0"/>
          <w:sz w:val="28"/>
          <w:szCs w:val="28"/>
          <w:lang w:val="en-US" w:eastAsia="zh-CN" w:bidi="ar"/>
        </w:rPr>
        <w:t xml:space="preserve">千克水中加糖 </w:t>
      </w:r>
      <w:r>
        <w:rPr>
          <w:rFonts w:hint="default" w:ascii="Times New Roman" w:hAnsi="Times New Roman" w:eastAsia="宋体" w:cs="Times New Roman"/>
          <w:color w:val="000000"/>
          <w:kern w:val="0"/>
          <w:sz w:val="28"/>
          <w:szCs w:val="28"/>
          <w:lang w:val="en-US" w:eastAsia="zh-CN" w:bidi="ar"/>
        </w:rPr>
        <w:t>2</w:t>
      </w:r>
      <w:r>
        <w:rPr>
          <w:rFonts w:hint="eastAsia" w:ascii="仿宋" w:hAnsi="仿宋" w:eastAsia="仿宋" w:cs="仿宋"/>
          <w:color w:val="000000"/>
          <w:kern w:val="0"/>
          <w:sz w:val="28"/>
          <w:szCs w:val="28"/>
          <w:lang w:val="en-US" w:eastAsia="zh-CN" w:bidi="ar"/>
        </w:rPr>
        <w:t>克，溶解后，再加入活干菌，这样可以提高复活率、保证饲料质量。配制菌液：将复活好的菌剂倒入充分溶解的</w:t>
      </w:r>
      <w:r>
        <w:rPr>
          <w:rFonts w:hint="default" w:ascii="Times New Roman" w:hAnsi="Times New Roman" w:eastAsia="宋体" w:cs="Times New Roman"/>
          <w:color w:val="000000"/>
          <w:kern w:val="0"/>
          <w:sz w:val="28"/>
          <w:szCs w:val="28"/>
          <w:lang w:val="en-US" w:eastAsia="zh-CN" w:bidi="ar"/>
        </w:rPr>
        <w:t>1%</w:t>
      </w:r>
      <w:r>
        <w:rPr>
          <w:rFonts w:hint="eastAsia" w:ascii="仿宋" w:hAnsi="仿宋" w:eastAsia="仿宋" w:cs="仿宋"/>
          <w:color w:val="000000"/>
          <w:kern w:val="0"/>
          <w:sz w:val="28"/>
          <w:szCs w:val="28"/>
          <w:lang w:val="en-US" w:eastAsia="zh-CN" w:bidi="ar"/>
        </w:rPr>
        <w:t>食盐水中拌匀。食盐水及菌液量根据秸秆的种类而定，如：</w:t>
      </w:r>
      <w:r>
        <w:rPr>
          <w:rFonts w:hint="default" w:ascii="Times New Roman" w:hAnsi="Times New Roman" w:eastAsia="宋体" w:cs="Times New Roman"/>
          <w:color w:val="000000"/>
          <w:kern w:val="0"/>
          <w:sz w:val="28"/>
          <w:szCs w:val="28"/>
          <w:lang w:val="en-US" w:eastAsia="zh-CN" w:bidi="ar"/>
        </w:rPr>
        <w:t>1000</w:t>
      </w:r>
      <w:r>
        <w:rPr>
          <w:rFonts w:hint="eastAsia" w:ascii="仿宋" w:hAnsi="仿宋" w:eastAsia="仿宋" w:cs="仿宋"/>
          <w:color w:val="000000"/>
          <w:kern w:val="0"/>
          <w:sz w:val="28"/>
          <w:szCs w:val="28"/>
          <w:lang w:val="en-US" w:eastAsia="zh-CN" w:bidi="ar"/>
        </w:rPr>
        <w:t>千克秸秆加</w:t>
      </w:r>
      <w:r>
        <w:rPr>
          <w:rFonts w:hint="default" w:ascii="Times New Roman" w:hAnsi="Times New Roman" w:eastAsia="宋体" w:cs="Times New Roman"/>
          <w:color w:val="000000"/>
          <w:kern w:val="0"/>
          <w:sz w:val="28"/>
          <w:szCs w:val="28"/>
          <w:lang w:val="en-US" w:eastAsia="zh-CN" w:bidi="ar"/>
        </w:rPr>
        <w:t>3</w:t>
      </w:r>
      <w:r>
        <w:rPr>
          <w:rFonts w:hint="eastAsia" w:ascii="仿宋" w:hAnsi="仿宋" w:eastAsia="仿宋" w:cs="仿宋"/>
          <w:color w:val="000000"/>
          <w:kern w:val="0"/>
          <w:sz w:val="28"/>
          <w:szCs w:val="28"/>
          <w:lang w:val="en-US" w:eastAsia="zh-CN" w:bidi="ar"/>
        </w:rPr>
        <w:t>克活干菌、</w:t>
      </w:r>
      <w:r>
        <w:rPr>
          <w:rFonts w:hint="default" w:ascii="Times New Roman" w:hAnsi="Times New Roman" w:eastAsia="宋体" w:cs="Times New Roman"/>
          <w:color w:val="000000"/>
          <w:kern w:val="0"/>
          <w:sz w:val="28"/>
          <w:szCs w:val="28"/>
          <w:lang w:val="en-US" w:eastAsia="zh-CN" w:bidi="ar"/>
        </w:rPr>
        <w:t>12</w:t>
      </w:r>
      <w:r>
        <w:rPr>
          <w:rFonts w:hint="eastAsia" w:ascii="仿宋" w:hAnsi="仿宋" w:eastAsia="仿宋" w:cs="仿宋"/>
          <w:color w:val="000000"/>
          <w:kern w:val="0"/>
          <w:sz w:val="28"/>
          <w:szCs w:val="28"/>
          <w:lang w:val="en-US" w:eastAsia="zh-CN" w:bidi="ar"/>
        </w:rPr>
        <w:t>千克食盐、</w:t>
      </w:r>
      <w:r>
        <w:rPr>
          <w:rFonts w:hint="default" w:ascii="Times New Roman" w:hAnsi="Times New Roman" w:eastAsia="宋体" w:cs="Times New Roman"/>
          <w:color w:val="000000"/>
          <w:kern w:val="0"/>
          <w:sz w:val="28"/>
          <w:szCs w:val="28"/>
          <w:lang w:val="en-US" w:eastAsia="zh-CN" w:bidi="ar"/>
        </w:rPr>
        <w:t>1200</w:t>
      </w:r>
      <w:r>
        <w:rPr>
          <w:rFonts w:hint="eastAsia" w:ascii="仿宋" w:hAnsi="仿宋" w:eastAsia="仿宋" w:cs="仿宋"/>
          <w:color w:val="000000"/>
          <w:kern w:val="0"/>
          <w:sz w:val="28"/>
          <w:szCs w:val="28"/>
          <w:lang w:val="en-US" w:eastAsia="zh-CN" w:bidi="ar"/>
        </w:rPr>
        <w:t xml:space="preserve">升水。菌糠准备：新鲜菌糠粉碎备用。 </w:t>
      </w:r>
    </w:p>
    <w:p>
      <w:pPr>
        <w:keepNext w:val="0"/>
        <w:keepLines w:val="0"/>
        <w:widowControl/>
        <w:suppressLineNumbers w:val="0"/>
        <w:jc w:val="left"/>
        <w:rPr>
          <w:sz w:val="28"/>
          <w:szCs w:val="28"/>
        </w:rPr>
      </w:pPr>
      <w:r>
        <w:rPr>
          <w:rFonts w:hint="default" w:ascii="Times New Roman" w:hAnsi="Times New Roman" w:eastAsia="宋体" w:cs="Times New Roman"/>
          <w:color w:val="000000"/>
          <w:kern w:val="0"/>
          <w:sz w:val="28"/>
          <w:szCs w:val="28"/>
          <w:lang w:val="en-US" w:eastAsia="zh-CN" w:bidi="ar"/>
        </w:rPr>
        <w:t>5</w:t>
      </w:r>
      <w:r>
        <w:rPr>
          <w:rFonts w:hint="eastAsia" w:ascii="仿宋" w:hAnsi="仿宋" w:eastAsia="仿宋" w:cs="仿宋"/>
          <w:color w:val="000000"/>
          <w:kern w:val="0"/>
          <w:sz w:val="28"/>
          <w:szCs w:val="28"/>
          <w:lang w:val="en-US" w:eastAsia="zh-CN" w:bidi="ar"/>
        </w:rPr>
        <w:t>、切短原料：用于发酵的农作物秸秆一定要铡短，养牛用</w:t>
      </w:r>
      <w:r>
        <w:rPr>
          <w:rFonts w:hint="default" w:ascii="Times New Roman" w:hAnsi="Times New Roman" w:eastAsia="宋体" w:cs="Times New Roman"/>
          <w:color w:val="000000"/>
          <w:kern w:val="0"/>
          <w:sz w:val="28"/>
          <w:szCs w:val="28"/>
          <w:lang w:val="en-US" w:eastAsia="zh-CN" w:bidi="ar"/>
        </w:rPr>
        <w:t>5-8</w:t>
      </w:r>
      <w:r>
        <w:rPr>
          <w:rFonts w:hint="eastAsia" w:ascii="仿宋" w:hAnsi="仿宋" w:eastAsia="仿宋" w:cs="仿宋"/>
          <w:color w:val="000000"/>
          <w:kern w:val="0"/>
          <w:sz w:val="28"/>
          <w:szCs w:val="28"/>
          <w:lang w:val="en-US" w:eastAsia="zh-CN" w:bidi="ar"/>
        </w:rPr>
        <w:t>厘米，养羊用</w:t>
      </w:r>
      <w:r>
        <w:rPr>
          <w:rFonts w:hint="default" w:ascii="Times New Roman" w:hAnsi="Times New Roman" w:eastAsia="宋体" w:cs="Times New Roman"/>
          <w:color w:val="000000"/>
          <w:kern w:val="0"/>
          <w:sz w:val="28"/>
          <w:szCs w:val="28"/>
          <w:lang w:val="en-US" w:eastAsia="zh-CN" w:bidi="ar"/>
        </w:rPr>
        <w:t>3-5</w:t>
      </w:r>
      <w:r>
        <w:rPr>
          <w:rFonts w:hint="eastAsia" w:ascii="仿宋" w:hAnsi="仿宋" w:eastAsia="仿宋" w:cs="仿宋"/>
          <w:color w:val="000000"/>
          <w:kern w:val="0"/>
          <w:sz w:val="28"/>
          <w:szCs w:val="28"/>
          <w:lang w:val="en-US" w:eastAsia="zh-CN" w:bidi="ar"/>
        </w:rPr>
        <w:t xml:space="preserve">厘米。 </w:t>
      </w:r>
    </w:p>
    <w:p>
      <w:pPr>
        <w:keepNext w:val="0"/>
        <w:keepLines w:val="0"/>
        <w:widowControl/>
        <w:suppressLineNumbers w:val="0"/>
        <w:jc w:val="left"/>
        <w:rPr>
          <w:sz w:val="28"/>
          <w:szCs w:val="28"/>
        </w:rPr>
      </w:pPr>
      <w:r>
        <w:rPr>
          <w:rFonts w:hint="default" w:ascii="Times New Roman" w:hAnsi="Times New Roman" w:eastAsia="宋体" w:cs="Times New Roman"/>
          <w:color w:val="000000"/>
          <w:kern w:val="0"/>
          <w:sz w:val="28"/>
          <w:szCs w:val="28"/>
          <w:lang w:val="en-US" w:eastAsia="zh-CN" w:bidi="ar"/>
        </w:rPr>
        <w:t>6</w:t>
      </w:r>
      <w:r>
        <w:rPr>
          <w:rFonts w:hint="eastAsia" w:ascii="仿宋" w:hAnsi="仿宋" w:eastAsia="仿宋" w:cs="仿宋"/>
          <w:color w:val="000000"/>
          <w:kern w:val="0"/>
          <w:sz w:val="28"/>
          <w:szCs w:val="28"/>
          <w:lang w:val="en-US" w:eastAsia="zh-CN" w:bidi="ar"/>
        </w:rPr>
        <w:t>、水分控制：黄贮饲料的含水量是否合适是决定黄贮饲料好坏的重要条件之一。因此，在喷洒和压实过程中，要随时检查秸秆的含水量是否合适，各处是否均匀一致，特别是要注意层与层之间水分的衔接，不要出现夹干层。黄贮含水量在</w:t>
      </w:r>
      <w:r>
        <w:rPr>
          <w:rFonts w:hint="default" w:ascii="Times New Roman" w:hAnsi="Times New Roman" w:eastAsia="宋体" w:cs="Times New Roman"/>
          <w:color w:val="000000"/>
          <w:kern w:val="0"/>
          <w:sz w:val="28"/>
          <w:szCs w:val="28"/>
          <w:lang w:val="en-US" w:eastAsia="zh-CN" w:bidi="ar"/>
        </w:rPr>
        <w:t>60%-70%</w:t>
      </w:r>
      <w:r>
        <w:rPr>
          <w:rFonts w:hint="eastAsia" w:ascii="仿宋" w:hAnsi="仿宋" w:eastAsia="仿宋" w:cs="仿宋"/>
          <w:color w:val="000000"/>
          <w:kern w:val="0"/>
          <w:sz w:val="28"/>
          <w:szCs w:val="28"/>
          <w:lang w:val="en-US" w:eastAsia="zh-CN" w:bidi="ar"/>
        </w:rPr>
        <w:t xml:space="preserve">最为理想。 </w:t>
      </w:r>
    </w:p>
    <w:p>
      <w:pPr>
        <w:keepNext w:val="0"/>
        <w:keepLines w:val="0"/>
        <w:widowControl/>
        <w:suppressLineNumbers w:val="0"/>
        <w:jc w:val="left"/>
        <w:rPr>
          <w:sz w:val="28"/>
          <w:szCs w:val="28"/>
        </w:rPr>
      </w:pPr>
      <w:r>
        <w:rPr>
          <w:rFonts w:hint="default" w:ascii="Times New Roman" w:hAnsi="Times New Roman" w:eastAsia="宋体" w:cs="Times New Roman"/>
          <w:color w:val="000000"/>
          <w:kern w:val="0"/>
          <w:sz w:val="28"/>
          <w:szCs w:val="28"/>
          <w:lang w:val="en-US" w:eastAsia="zh-CN" w:bidi="ar"/>
        </w:rPr>
        <w:t>7</w:t>
      </w:r>
      <w:r>
        <w:rPr>
          <w:rFonts w:hint="eastAsia" w:ascii="仿宋" w:hAnsi="仿宋" w:eastAsia="仿宋" w:cs="仿宋"/>
          <w:color w:val="000000"/>
          <w:kern w:val="0"/>
          <w:sz w:val="28"/>
          <w:szCs w:val="28"/>
          <w:lang w:val="en-US" w:eastAsia="zh-CN" w:bidi="ar"/>
        </w:rPr>
        <w:t xml:space="preserve">、混合：关键是控制秸秆黄贮的含水量，水分含量过高、过低，均会影响饲料的品质。水分过低，原料比较粗硬，不易压实，原料间存留空气较多，导致好氧细菌大量繁殖使饲料发霉变质，同时水分过低会使全混合日粮中精粗料混合不均匀，反刍动物出现挑食现象。水分过高，往往引起乳酸菌发酵导致可溶性碳水化合物损失，同时利于酪酸菌的繁殖活动，产生大量丁酸，使饲料发臭、变黏。根据复合发酵的比例，进行混合均匀。 </w:t>
      </w:r>
    </w:p>
    <w:p>
      <w:pPr>
        <w:keepNext w:val="0"/>
        <w:keepLines w:val="0"/>
        <w:widowControl/>
        <w:suppressLineNumbers w:val="0"/>
        <w:jc w:val="left"/>
        <w:rPr>
          <w:sz w:val="28"/>
          <w:szCs w:val="28"/>
        </w:rPr>
      </w:pPr>
      <w:r>
        <w:rPr>
          <w:rFonts w:hint="default" w:ascii="Times New Roman" w:hAnsi="Times New Roman" w:eastAsia="宋体" w:cs="Times New Roman"/>
          <w:color w:val="000000"/>
          <w:kern w:val="0"/>
          <w:sz w:val="28"/>
          <w:szCs w:val="28"/>
          <w:lang w:val="en-US" w:eastAsia="zh-CN" w:bidi="ar"/>
        </w:rPr>
        <w:t>8</w:t>
      </w:r>
      <w:r>
        <w:rPr>
          <w:rFonts w:hint="eastAsia" w:ascii="仿宋" w:hAnsi="仿宋" w:eastAsia="仿宋" w:cs="仿宋"/>
          <w:color w:val="000000"/>
          <w:kern w:val="0"/>
          <w:sz w:val="28"/>
          <w:szCs w:val="28"/>
          <w:lang w:val="en-US" w:eastAsia="zh-CN" w:bidi="ar"/>
        </w:rPr>
        <w:t>、装填入窖</w:t>
      </w:r>
      <w:r>
        <w:rPr>
          <w:rFonts w:hint="default" w:ascii="Times New Roman" w:hAnsi="Times New Roman" w:eastAsia="宋体" w:cs="Times New Roman"/>
          <w:color w:val="000000"/>
          <w:kern w:val="0"/>
          <w:sz w:val="28"/>
          <w:szCs w:val="28"/>
          <w:lang w:val="en-US" w:eastAsia="zh-CN" w:bidi="ar"/>
        </w:rPr>
        <w:t>/</w:t>
      </w:r>
      <w:r>
        <w:rPr>
          <w:rFonts w:hint="eastAsia" w:ascii="仿宋" w:hAnsi="仿宋" w:eastAsia="仿宋" w:cs="仿宋"/>
          <w:color w:val="000000"/>
          <w:kern w:val="0"/>
          <w:sz w:val="28"/>
          <w:szCs w:val="28"/>
          <w:lang w:val="en-US" w:eastAsia="zh-CN" w:bidi="ar"/>
        </w:rPr>
        <w:t>裹包</w:t>
      </w:r>
      <w:r>
        <w:rPr>
          <w:rFonts w:hint="default" w:ascii="Times New Roman" w:hAnsi="Times New Roman" w:eastAsia="宋体" w:cs="Times New Roman"/>
          <w:color w:val="000000"/>
          <w:kern w:val="0"/>
          <w:sz w:val="28"/>
          <w:szCs w:val="28"/>
          <w:lang w:val="en-US" w:eastAsia="zh-CN" w:bidi="ar"/>
        </w:rPr>
        <w:t>/</w:t>
      </w:r>
      <w:r>
        <w:rPr>
          <w:rFonts w:hint="eastAsia" w:ascii="仿宋" w:hAnsi="仿宋" w:eastAsia="仿宋" w:cs="仿宋"/>
          <w:color w:val="000000"/>
          <w:kern w:val="0"/>
          <w:sz w:val="28"/>
          <w:szCs w:val="28"/>
          <w:lang w:val="en-US" w:eastAsia="zh-CN" w:bidi="ar"/>
        </w:rPr>
        <w:t>装袋：在窖底铺放</w:t>
      </w:r>
      <w:r>
        <w:rPr>
          <w:rFonts w:hint="default" w:ascii="Times New Roman" w:hAnsi="Times New Roman" w:eastAsia="宋体" w:cs="Times New Roman"/>
          <w:color w:val="000000"/>
          <w:kern w:val="0"/>
          <w:sz w:val="28"/>
          <w:szCs w:val="28"/>
          <w:lang w:val="en-US" w:eastAsia="zh-CN" w:bidi="ar"/>
        </w:rPr>
        <w:t>20-30</w:t>
      </w:r>
      <w:r>
        <w:rPr>
          <w:rFonts w:hint="eastAsia" w:ascii="仿宋" w:hAnsi="仿宋" w:eastAsia="仿宋" w:cs="仿宋"/>
          <w:color w:val="000000"/>
          <w:kern w:val="0"/>
          <w:sz w:val="28"/>
          <w:szCs w:val="28"/>
          <w:lang w:val="en-US" w:eastAsia="zh-CN" w:bidi="ar"/>
        </w:rPr>
        <w:t>厘米厚的原料，均匀喷洒菌液水，压实，再铺</w:t>
      </w:r>
      <w:r>
        <w:rPr>
          <w:rFonts w:hint="default" w:ascii="Times New Roman" w:hAnsi="Times New Roman" w:eastAsia="宋体" w:cs="Times New Roman"/>
          <w:color w:val="000000"/>
          <w:kern w:val="0"/>
          <w:sz w:val="28"/>
          <w:szCs w:val="28"/>
          <w:lang w:val="en-US" w:eastAsia="zh-CN" w:bidi="ar"/>
        </w:rPr>
        <w:t>20-30</w:t>
      </w:r>
      <w:r>
        <w:rPr>
          <w:rFonts w:hint="eastAsia" w:ascii="仿宋" w:hAnsi="仿宋" w:eastAsia="仿宋" w:cs="仿宋"/>
          <w:color w:val="000000"/>
          <w:kern w:val="0"/>
          <w:sz w:val="28"/>
          <w:szCs w:val="28"/>
          <w:lang w:val="en-US" w:eastAsia="zh-CN" w:bidi="ar"/>
        </w:rPr>
        <w:t>厘米秸秆，再喷洒菌液压实，如此反复。分层压实的目的是为了排出秸秆空隙中的空气，给发酵菌繁殖造成厌氧条件，尤其窖的四周要踩实压紧。进行裹包</w:t>
      </w:r>
      <w:r>
        <w:rPr>
          <w:rFonts w:hint="default" w:ascii="Times New Roman" w:hAnsi="Times New Roman" w:eastAsia="宋体" w:cs="Times New Roman"/>
          <w:color w:val="000000"/>
          <w:kern w:val="0"/>
          <w:sz w:val="28"/>
          <w:szCs w:val="28"/>
          <w:lang w:val="en-US" w:eastAsia="zh-CN" w:bidi="ar"/>
        </w:rPr>
        <w:t>/</w:t>
      </w:r>
      <w:r>
        <w:rPr>
          <w:rFonts w:hint="eastAsia" w:ascii="仿宋" w:hAnsi="仿宋" w:eastAsia="仿宋" w:cs="仿宋"/>
          <w:color w:val="000000"/>
          <w:kern w:val="0"/>
          <w:sz w:val="28"/>
          <w:szCs w:val="28"/>
          <w:lang w:val="en-US" w:eastAsia="zh-CN" w:bidi="ar"/>
        </w:rPr>
        <w:t>装袋前，进行菌液喷洒。裹包时要进行</w:t>
      </w:r>
      <w:r>
        <w:rPr>
          <w:rFonts w:hint="default" w:ascii="Times New Roman" w:hAnsi="Times New Roman" w:eastAsia="宋体" w:cs="Times New Roman"/>
          <w:color w:val="000000"/>
          <w:kern w:val="0"/>
          <w:sz w:val="28"/>
          <w:szCs w:val="28"/>
          <w:lang w:val="en-US" w:eastAsia="zh-CN" w:bidi="ar"/>
        </w:rPr>
        <w:t>2-3</w:t>
      </w:r>
      <w:r>
        <w:rPr>
          <w:rFonts w:hint="eastAsia" w:ascii="仿宋" w:hAnsi="仿宋" w:eastAsia="仿宋" w:cs="仿宋"/>
          <w:color w:val="000000"/>
          <w:kern w:val="0"/>
          <w:sz w:val="28"/>
          <w:szCs w:val="28"/>
          <w:lang w:val="en-US" w:eastAsia="zh-CN" w:bidi="ar"/>
        </w:rPr>
        <w:t xml:space="preserve">层裹包，避免在储存和搬运过程中出现破损，导致黄贮出现霉变。 </w:t>
      </w:r>
    </w:p>
    <w:p>
      <w:pPr>
        <w:keepNext w:val="0"/>
        <w:keepLines w:val="0"/>
        <w:widowControl/>
        <w:suppressLineNumbers w:val="0"/>
        <w:jc w:val="left"/>
        <w:rPr>
          <w:sz w:val="28"/>
          <w:szCs w:val="28"/>
        </w:rPr>
      </w:pPr>
      <w:r>
        <w:rPr>
          <w:rFonts w:hint="default" w:ascii="Times New Roman" w:hAnsi="Times New Roman" w:eastAsia="宋体" w:cs="Times New Roman"/>
          <w:color w:val="000000"/>
          <w:kern w:val="0"/>
          <w:sz w:val="28"/>
          <w:szCs w:val="28"/>
          <w:lang w:val="en-US" w:eastAsia="zh-CN" w:bidi="ar"/>
        </w:rPr>
        <w:t>9</w:t>
      </w:r>
      <w:r>
        <w:rPr>
          <w:rFonts w:hint="eastAsia" w:ascii="仿宋" w:hAnsi="仿宋" w:eastAsia="仿宋" w:cs="仿宋"/>
          <w:color w:val="000000"/>
          <w:kern w:val="0"/>
          <w:sz w:val="28"/>
          <w:szCs w:val="28"/>
          <w:lang w:val="en-US" w:eastAsia="zh-CN" w:bidi="ar"/>
        </w:rPr>
        <w:t xml:space="preserve">、压实密封：将制作好的全混合日粮使用拉伸膜裹包或袋状黄贮等技术进行密封，创造出厌氧环境，进行厌氧发酵，从而制作出营养平衡、能够长期贮存的日粮。密封后，应定期检查窖顶和窖口，防范鼠类、鸟类破坏，如发现下沉或有裂缝，应及时修补。 </w:t>
      </w:r>
    </w:p>
    <w:p>
      <w:pPr>
        <w:keepNext w:val="0"/>
        <w:keepLines w:val="0"/>
        <w:widowControl/>
        <w:suppressLineNumbers w:val="0"/>
        <w:jc w:val="left"/>
        <w:rPr>
          <w:sz w:val="28"/>
          <w:szCs w:val="28"/>
        </w:rPr>
      </w:pPr>
      <w:r>
        <w:rPr>
          <w:rFonts w:hint="default" w:ascii="Times New Roman" w:hAnsi="Times New Roman" w:eastAsia="宋体" w:cs="Times New Roman"/>
          <w:color w:val="000000"/>
          <w:kern w:val="0"/>
          <w:sz w:val="28"/>
          <w:szCs w:val="28"/>
          <w:lang w:val="en-US" w:eastAsia="zh-CN" w:bidi="ar"/>
        </w:rPr>
        <w:t>10</w:t>
      </w:r>
      <w:r>
        <w:rPr>
          <w:rFonts w:hint="eastAsia" w:ascii="仿宋" w:hAnsi="仿宋" w:eastAsia="仿宋" w:cs="仿宋"/>
          <w:color w:val="000000"/>
          <w:kern w:val="0"/>
          <w:sz w:val="28"/>
          <w:szCs w:val="28"/>
          <w:lang w:val="en-US" w:eastAsia="zh-CN" w:bidi="ar"/>
        </w:rPr>
        <w:t>、封窖：在秸秆分层压实直到高出窖口</w:t>
      </w:r>
      <w:r>
        <w:rPr>
          <w:rFonts w:hint="default" w:ascii="Times New Roman" w:hAnsi="Times New Roman" w:eastAsia="宋体" w:cs="Times New Roman"/>
          <w:color w:val="000000"/>
          <w:kern w:val="0"/>
          <w:sz w:val="28"/>
          <w:szCs w:val="28"/>
          <w:lang w:val="en-US" w:eastAsia="zh-CN" w:bidi="ar"/>
        </w:rPr>
        <w:t>40-50</w:t>
      </w:r>
      <w:r>
        <w:rPr>
          <w:rFonts w:hint="eastAsia" w:ascii="仿宋" w:hAnsi="仿宋" w:eastAsia="仿宋" w:cs="仿宋"/>
          <w:color w:val="000000"/>
          <w:kern w:val="0"/>
          <w:sz w:val="28"/>
          <w:szCs w:val="28"/>
          <w:lang w:val="en-US" w:eastAsia="zh-CN" w:bidi="ar"/>
        </w:rPr>
        <w:t>厘米，在充分压实后，在最上面均匀酒上食盐，用量为</w:t>
      </w:r>
      <w:r>
        <w:rPr>
          <w:rFonts w:hint="default" w:ascii="Times New Roman" w:hAnsi="Times New Roman" w:eastAsia="宋体" w:cs="Times New Roman"/>
          <w:color w:val="000000"/>
          <w:kern w:val="0"/>
          <w:sz w:val="28"/>
          <w:szCs w:val="28"/>
          <w:lang w:val="en-US" w:eastAsia="zh-CN" w:bidi="ar"/>
        </w:rPr>
        <w:t>250</w:t>
      </w:r>
      <w:r>
        <w:rPr>
          <w:rFonts w:hint="eastAsia" w:ascii="仿宋" w:hAnsi="仿宋" w:eastAsia="仿宋" w:cs="仿宋"/>
          <w:color w:val="000000"/>
          <w:kern w:val="0"/>
          <w:sz w:val="28"/>
          <w:szCs w:val="28"/>
          <w:lang w:val="en-US" w:eastAsia="zh-CN" w:bidi="ar"/>
        </w:rPr>
        <w:t>克</w:t>
      </w:r>
      <w:r>
        <w:rPr>
          <w:rFonts w:hint="default" w:ascii="Times New Roman" w:hAnsi="Times New Roman" w:eastAsia="宋体" w:cs="Times New Roman"/>
          <w:color w:val="000000"/>
          <w:kern w:val="0"/>
          <w:sz w:val="28"/>
          <w:szCs w:val="28"/>
          <w:lang w:val="en-US" w:eastAsia="zh-CN" w:bidi="ar"/>
        </w:rPr>
        <w:t>/</w:t>
      </w:r>
      <w:r>
        <w:rPr>
          <w:rFonts w:hint="eastAsia" w:ascii="仿宋" w:hAnsi="仿宋" w:eastAsia="仿宋" w:cs="仿宋"/>
          <w:color w:val="000000"/>
          <w:kern w:val="0"/>
          <w:sz w:val="28"/>
          <w:szCs w:val="28"/>
          <w:lang w:val="en-US" w:eastAsia="zh-CN" w:bidi="ar"/>
        </w:rPr>
        <w:t>平方米，其目的是确保黄贮饲料上部不发生霉烂变质。在气温较高的季节封窖</w:t>
      </w:r>
      <w:r>
        <w:rPr>
          <w:rFonts w:hint="default" w:ascii="Times New Roman" w:hAnsi="Times New Roman" w:eastAsia="宋体" w:cs="Times New Roman"/>
          <w:color w:val="000000"/>
          <w:kern w:val="0"/>
          <w:sz w:val="28"/>
          <w:szCs w:val="28"/>
          <w:lang w:val="en-US" w:eastAsia="zh-CN" w:bidi="ar"/>
        </w:rPr>
        <w:t>21</w:t>
      </w:r>
      <w:r>
        <w:rPr>
          <w:rFonts w:hint="eastAsia" w:ascii="仿宋" w:hAnsi="仿宋" w:eastAsia="仿宋" w:cs="仿宋"/>
          <w:color w:val="000000"/>
          <w:kern w:val="0"/>
          <w:sz w:val="28"/>
          <w:szCs w:val="28"/>
          <w:lang w:val="en-US" w:eastAsia="zh-CN" w:bidi="ar"/>
        </w:rPr>
        <w:t>天后，气温较低季节封窖</w:t>
      </w:r>
      <w:r>
        <w:rPr>
          <w:rFonts w:hint="default" w:ascii="Times New Roman" w:hAnsi="Times New Roman" w:eastAsia="宋体" w:cs="Times New Roman"/>
          <w:color w:val="000000"/>
          <w:kern w:val="0"/>
          <w:sz w:val="28"/>
          <w:szCs w:val="28"/>
          <w:lang w:val="en-US" w:eastAsia="zh-CN" w:bidi="ar"/>
        </w:rPr>
        <w:t>30</w:t>
      </w:r>
      <w:r>
        <w:rPr>
          <w:rFonts w:hint="eastAsia" w:ascii="仿宋" w:hAnsi="仿宋" w:eastAsia="仿宋" w:cs="仿宋"/>
          <w:color w:val="000000"/>
          <w:kern w:val="0"/>
          <w:sz w:val="28"/>
          <w:szCs w:val="28"/>
          <w:lang w:val="en-US" w:eastAsia="zh-CN" w:bidi="ar"/>
        </w:rPr>
        <w:t xml:space="preserve">天后，完成黄 贮发酵。即可开窖取料饲喂家畜。开窖后首先要进行质量检查，优质的黄贮色泽金黄，有醇、果酸香味，手感松散、柔软、温润。 </w:t>
      </w:r>
    </w:p>
    <w:p>
      <w:pPr>
        <w:keepNext w:val="0"/>
        <w:keepLines w:val="0"/>
        <w:widowControl/>
        <w:suppressLineNumbers w:val="0"/>
        <w:jc w:val="left"/>
        <w:rPr>
          <w:sz w:val="28"/>
          <w:szCs w:val="28"/>
        </w:rPr>
      </w:pPr>
      <w:r>
        <w:rPr>
          <w:rFonts w:hint="default" w:ascii="Times New Roman" w:hAnsi="Times New Roman" w:eastAsia="宋体" w:cs="Times New Roman"/>
          <w:color w:val="000000"/>
          <w:kern w:val="0"/>
          <w:sz w:val="28"/>
          <w:szCs w:val="28"/>
          <w:lang w:val="en-US" w:eastAsia="zh-CN" w:bidi="ar"/>
        </w:rPr>
        <w:t>11</w:t>
      </w:r>
      <w:r>
        <w:rPr>
          <w:rFonts w:hint="eastAsia" w:ascii="仿宋" w:hAnsi="仿宋" w:eastAsia="仿宋" w:cs="仿宋"/>
          <w:color w:val="000000"/>
          <w:kern w:val="0"/>
          <w:sz w:val="28"/>
          <w:szCs w:val="28"/>
          <w:lang w:val="en-US" w:eastAsia="zh-CN" w:bidi="ar"/>
        </w:rPr>
        <w:t>、开窖</w:t>
      </w:r>
      <w:r>
        <w:rPr>
          <w:rFonts w:hint="default" w:ascii="Times New Roman" w:hAnsi="Times New Roman" w:eastAsia="宋体" w:cs="Times New Roman"/>
          <w:color w:val="000000"/>
          <w:kern w:val="0"/>
          <w:sz w:val="28"/>
          <w:szCs w:val="28"/>
          <w:lang w:val="en-US" w:eastAsia="zh-CN" w:bidi="ar"/>
        </w:rPr>
        <w:t>/</w:t>
      </w:r>
      <w:r>
        <w:rPr>
          <w:rFonts w:hint="eastAsia" w:ascii="仿宋" w:hAnsi="仿宋" w:eastAsia="仿宋" w:cs="仿宋"/>
          <w:color w:val="000000"/>
          <w:kern w:val="0"/>
          <w:sz w:val="28"/>
          <w:szCs w:val="28"/>
          <w:lang w:val="en-US" w:eastAsia="zh-CN" w:bidi="ar"/>
        </w:rPr>
        <w:t xml:space="preserve">拆包：开窖时应从窖的一端开始，先去掉上边覆盖的部分土层、草层，然后揭开薄膜，从上至下垂直逐段取用。开窖和拆包后的黄贮要尽快饲用，避免出现二次发酵。 </w:t>
      </w:r>
    </w:p>
    <w:p>
      <w:pPr>
        <w:keepNext w:val="0"/>
        <w:keepLines w:val="0"/>
        <w:widowControl/>
        <w:suppressLineNumbers w:val="0"/>
        <w:jc w:val="left"/>
        <w:rPr>
          <w:sz w:val="28"/>
          <w:szCs w:val="28"/>
        </w:rPr>
      </w:pPr>
      <w:r>
        <w:rPr>
          <w:rFonts w:hint="default" w:ascii="Times New Roman" w:hAnsi="Times New Roman" w:eastAsia="宋体" w:cs="Times New Roman"/>
          <w:color w:val="000000"/>
          <w:kern w:val="0"/>
          <w:sz w:val="28"/>
          <w:szCs w:val="28"/>
          <w:lang w:val="en-US" w:eastAsia="zh-CN" w:bidi="ar"/>
        </w:rPr>
        <w:t>12</w:t>
      </w:r>
      <w:r>
        <w:rPr>
          <w:rFonts w:hint="eastAsia" w:ascii="仿宋" w:hAnsi="仿宋" w:eastAsia="仿宋" w:cs="仿宋"/>
          <w:color w:val="000000"/>
          <w:kern w:val="0"/>
          <w:sz w:val="28"/>
          <w:szCs w:val="28"/>
          <w:lang w:val="en-US" w:eastAsia="zh-CN" w:bidi="ar"/>
        </w:rPr>
        <w:t>、使用：取出发酵后的水稻型粗饲料，加入糟渣（酒糟、食用菌渣等非粮饲料</w:t>
      </w:r>
      <w:r>
        <w:rPr>
          <w:rFonts w:hint="default" w:ascii="Times New Roman" w:hAnsi="Times New Roman" w:eastAsia="宋体" w:cs="Times New Roman"/>
          <w:color w:val="000000"/>
          <w:kern w:val="0"/>
          <w:sz w:val="28"/>
          <w:szCs w:val="28"/>
          <w:lang w:val="en-US" w:eastAsia="zh-CN" w:bidi="ar"/>
        </w:rPr>
        <w:t>)</w:t>
      </w:r>
      <w:r>
        <w:rPr>
          <w:rFonts w:hint="eastAsia" w:ascii="仿宋" w:hAnsi="仿宋" w:eastAsia="仿宋" w:cs="仿宋"/>
          <w:color w:val="000000"/>
          <w:kern w:val="0"/>
          <w:sz w:val="28"/>
          <w:szCs w:val="28"/>
          <w:lang w:val="en-US" w:eastAsia="zh-CN" w:bidi="ar"/>
        </w:rPr>
        <w:t>、季节性牧草、精补料等，按照科学比例均匀混合。</w:t>
      </w:r>
    </w:p>
    <w:p>
      <w:pPr>
        <w:ind w:left="0" w:leftChars="0" w:firstLine="0" w:firstLineChars="0"/>
        <w:rPr>
          <w:rFonts w:eastAsia="黑体"/>
          <w:color w:val="000000"/>
          <w:sz w:val="28"/>
          <w:szCs w:val="28"/>
        </w:rPr>
      </w:pPr>
      <w:r>
        <w:rPr>
          <w:rFonts w:hint="eastAsia" w:eastAsia="黑体"/>
          <w:color w:val="000000"/>
          <w:szCs w:val="32"/>
          <w:lang w:eastAsia="zh-CN"/>
        </w:rPr>
        <w:t>　　</w:t>
      </w:r>
      <w:r>
        <w:rPr>
          <w:rFonts w:eastAsia="黑体"/>
          <w:color w:val="000000"/>
          <w:szCs w:val="32"/>
        </w:rPr>
        <w:t>五、技术依托单位</w:t>
      </w:r>
      <w:r>
        <w:rPr>
          <w:rFonts w:eastAsia="黑体"/>
          <w:color w:val="000000"/>
          <w:sz w:val="28"/>
          <w:szCs w:val="28"/>
        </w:rPr>
        <w:t>（</w:t>
      </w:r>
      <w:r>
        <w:rPr>
          <w:rFonts w:hint="eastAsia" w:ascii="仿宋_GB2312" w:hAnsi="Times New Roman" w:eastAsia="仿宋_GB2312" w:cs="Times New Roman"/>
          <w:color w:val="000000"/>
          <w:sz w:val="28"/>
          <w:szCs w:val="28"/>
        </w:rPr>
        <w:t>须与汇总表所填数量、单位一致，需列入参与技术推广的各级国家农技推广机构</w:t>
      </w:r>
      <w:r>
        <w:rPr>
          <w:rFonts w:eastAsia="黑体"/>
          <w:color w:val="000000"/>
          <w:sz w:val="28"/>
          <w:szCs w:val="28"/>
        </w:rPr>
        <w:t>）</w:t>
      </w:r>
    </w:p>
    <w:p>
      <w:pPr>
        <w:ind w:firstLine="554"/>
        <w:rPr>
          <w:rFonts w:hint="eastAsia" w:ascii="仿宋" w:hAnsi="仿宋" w:eastAsia="仿宋" w:cs="仿宋"/>
          <w:b/>
          <w:color w:val="000000"/>
          <w:sz w:val="28"/>
          <w:szCs w:val="28"/>
          <w:lang w:val="en-US" w:eastAsia="zh-CN"/>
        </w:rPr>
      </w:pPr>
      <w:r>
        <w:rPr>
          <w:rFonts w:hint="eastAsia" w:ascii="仿宋" w:hAnsi="仿宋" w:eastAsia="仿宋" w:cs="仿宋"/>
          <w:sz w:val="28"/>
          <w:szCs w:val="28"/>
        </w:rPr>
        <w:t>单位名称</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湖南农业大学</w:t>
      </w:r>
    </w:p>
    <w:p>
      <w:pPr>
        <w:keepNext w:val="0"/>
        <w:keepLines w:val="0"/>
        <w:widowControl/>
        <w:suppressLineNumbers w:val="0"/>
        <w:jc w:val="left"/>
        <w:rPr>
          <w:rFonts w:hint="eastAsia" w:ascii="仿宋" w:hAnsi="仿宋" w:eastAsia="仿宋" w:cs="仿宋"/>
          <w:sz w:val="28"/>
          <w:szCs w:val="28"/>
          <w:lang w:val="en-US" w:eastAsia="zh-CN"/>
        </w:rPr>
      </w:pPr>
      <w:r>
        <w:rPr>
          <w:sz w:val="28"/>
          <w:szCs w:val="28"/>
        </w:rPr>
        <w:t>联系地址：</w:t>
      </w:r>
      <w:r>
        <w:rPr>
          <w:rFonts w:hint="eastAsia" w:ascii="仿宋" w:hAnsi="仿宋" w:eastAsia="仿宋" w:cs="仿宋"/>
          <w:sz w:val="28"/>
          <w:szCs w:val="28"/>
          <w:lang w:val="en-US" w:eastAsia="zh-CN"/>
        </w:rPr>
        <w:t>湖南省长沙市芙蓉区农大路 1 号</w:t>
      </w:r>
    </w:p>
    <w:p>
      <w:pPr>
        <w:ind w:firstLine="552"/>
        <w:rPr>
          <w:rFonts w:hint="default" w:eastAsia="仿宋_GB2312"/>
          <w:sz w:val="28"/>
          <w:szCs w:val="28"/>
          <w:lang w:val="en-US" w:eastAsia="zh-CN"/>
        </w:rPr>
      </w:pPr>
      <w:r>
        <w:rPr>
          <w:sz w:val="28"/>
          <w:szCs w:val="28"/>
        </w:rPr>
        <w:t>邮政编码：</w:t>
      </w:r>
      <w:r>
        <w:rPr>
          <w:rFonts w:hint="eastAsia"/>
          <w:sz w:val="28"/>
          <w:szCs w:val="28"/>
          <w:lang w:val="en-US" w:eastAsia="zh-CN"/>
        </w:rPr>
        <w:t>410125</w:t>
      </w:r>
    </w:p>
    <w:p>
      <w:pPr>
        <w:ind w:firstLine="552"/>
        <w:rPr>
          <w:rFonts w:hint="eastAsia" w:eastAsia="仿宋_GB2312"/>
          <w:sz w:val="28"/>
          <w:szCs w:val="28"/>
          <w:lang w:eastAsia="zh-CN"/>
        </w:rPr>
      </w:pPr>
      <w:r>
        <w:rPr>
          <w:sz w:val="28"/>
          <w:szCs w:val="28"/>
        </w:rPr>
        <w:t>联 系 人：</w:t>
      </w:r>
      <w:r>
        <w:rPr>
          <w:rFonts w:hint="eastAsia"/>
          <w:sz w:val="28"/>
          <w:szCs w:val="28"/>
          <w:lang w:val="en-US" w:eastAsia="zh-CN"/>
        </w:rPr>
        <w:t>陈东</w:t>
      </w:r>
    </w:p>
    <w:p>
      <w:pPr>
        <w:keepNext w:val="0"/>
        <w:keepLines w:val="0"/>
        <w:widowControl/>
        <w:suppressLineNumbers w:val="0"/>
        <w:jc w:val="left"/>
        <w:rPr>
          <w:rFonts w:hint="default" w:ascii="Times New Roman" w:hAnsi="Times New Roman" w:cs="Times New Roman"/>
          <w:sz w:val="28"/>
          <w:szCs w:val="28"/>
        </w:rPr>
      </w:pPr>
      <w:r>
        <w:rPr>
          <w:sz w:val="28"/>
          <w:szCs w:val="28"/>
        </w:rPr>
        <w:t>联系电话：</w:t>
      </w:r>
      <w:r>
        <w:rPr>
          <w:rFonts w:hint="default" w:ascii="Times New Roman" w:hAnsi="Times New Roman" w:eastAsia="仿宋" w:cs="Times New Roman"/>
          <w:color w:val="000000"/>
          <w:kern w:val="0"/>
          <w:sz w:val="28"/>
          <w:szCs w:val="28"/>
          <w:lang w:val="en-US" w:eastAsia="zh-CN" w:bidi="ar"/>
        </w:rPr>
        <w:t>13787038140</w:t>
      </w:r>
    </w:p>
    <w:p>
      <w:pPr>
        <w:keepNext w:val="0"/>
        <w:keepLines w:val="0"/>
        <w:widowControl/>
        <w:suppressLineNumbers w:val="0"/>
        <w:ind w:left="0" w:leftChars="0" w:firstLine="560" w:firstLineChars="200"/>
        <w:jc w:val="left"/>
      </w:pPr>
      <w:r>
        <w:rPr>
          <w:rFonts w:hint="default" w:ascii="Times New Roman" w:hAnsi="Times New Roman" w:cs="Times New Roman"/>
          <w:sz w:val="28"/>
          <w:szCs w:val="28"/>
        </w:rPr>
        <w:t>电子邮箱：</w:t>
      </w:r>
      <w:r>
        <w:rPr>
          <w:rFonts w:hint="default" w:ascii="Times New Roman" w:hAnsi="Times New Roman" w:eastAsia="仿宋" w:cs="Times New Roman"/>
          <w:color w:val="000000"/>
          <w:kern w:val="0"/>
          <w:sz w:val="28"/>
          <w:szCs w:val="28"/>
          <w:lang w:val="en-US" w:eastAsia="zh-CN" w:bidi="ar"/>
        </w:rPr>
        <w:t>chendong_326@126.com</w:t>
      </w:r>
    </w:p>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86"/>
    <w:family w:val="auto"/>
    <w:pitch w:val="default"/>
    <w:sig w:usb0="00000000" w:usb1="00000000" w:usb2="00000009"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script"/>
    <w:pitch w:val="default"/>
    <w:sig w:usb0="A00002BF" w:usb1="184F6CFA" w:usb2="00000012"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华文中宋">
    <w:altName w:val="汉仪中宋简"/>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DejaVu Sans">
    <w:panose1 w:val="020B0603030804020204"/>
    <w:charset w:val="00"/>
    <w:family w:val="auto"/>
    <w:pitch w:val="default"/>
    <w:sig w:usb0="E7006EFF" w:usb1="D200FDFF" w:usb2="0A246029" w:usb3="0400200C" w:csb0="600001FF" w:csb1="DFFF0000"/>
  </w:font>
  <w:font w:name="汉仪中宋简">
    <w:panose1 w:val="02010600000101010101"/>
    <w:charset w:val="86"/>
    <w:family w:val="auto"/>
    <w:pitch w:val="default"/>
    <w:sig w:usb0="00000001" w:usb1="080E0800" w:usb2="00000002"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ind w:firstLine="0" w:firstLineChars="0"/>
      <w:rPr>
        <w:rStyle w:val="10"/>
        <w:sz w:val="28"/>
        <w:szCs w:val="28"/>
      </w:rPr>
    </w:pPr>
    <w:r>
      <w:rPr>
        <w:rStyle w:val="10"/>
        <w:rFonts w:hint="eastAsia"/>
        <w:sz w:val="28"/>
        <w:szCs w:val="28"/>
      </w:rPr>
      <w:t>—</w:t>
    </w:r>
    <w:r>
      <w:rPr>
        <w:sz w:val="28"/>
        <w:szCs w:val="28"/>
      </w:rPr>
      <w:fldChar w:fldCharType="begin"/>
    </w:r>
    <w:r>
      <w:rPr>
        <w:rStyle w:val="10"/>
        <w:sz w:val="28"/>
        <w:szCs w:val="28"/>
      </w:rPr>
      <w:instrText xml:space="preserve">PAGE  </w:instrText>
    </w:r>
    <w:r>
      <w:rPr>
        <w:sz w:val="28"/>
        <w:szCs w:val="28"/>
      </w:rPr>
      <w:fldChar w:fldCharType="separate"/>
    </w:r>
    <w:r>
      <w:rPr>
        <w:rStyle w:val="10"/>
        <w:sz w:val="28"/>
        <w:szCs w:val="28"/>
      </w:rPr>
      <w:t>4</w:t>
    </w:r>
    <w:r>
      <w:rPr>
        <w:sz w:val="28"/>
        <w:szCs w:val="28"/>
      </w:rPr>
      <w:fldChar w:fldCharType="end"/>
    </w:r>
    <w:r>
      <w:rPr>
        <w:rStyle w:val="10"/>
        <w:rFonts w:hint="eastAsia"/>
        <w:sz w:val="28"/>
        <w:szCs w:val="28"/>
      </w:rPr>
      <w:t>—</w:t>
    </w:r>
  </w:p>
  <w:p>
    <w:pPr>
      <w:pStyle w:val="6"/>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4EAD71C"/>
    <w:multiLevelType w:val="singleLevel"/>
    <w:tmpl w:val="C4EAD71C"/>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Y2YzMyYTljZGFiMGJkMDQ3NjNlOTQzOGJhZGI4ZmMifQ=="/>
  </w:docVars>
  <w:rsids>
    <w:rsidRoot w:val="4FA5759C"/>
    <w:rsid w:val="48B528B2"/>
    <w:rsid w:val="4FA5759C"/>
    <w:rsid w:val="5E66EA6E"/>
    <w:rsid w:val="6121366E"/>
    <w:rsid w:val="637E891F"/>
    <w:rsid w:val="D7DC24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579" w:lineRule="atLeast"/>
      <w:ind w:firstLine="200" w:firstLineChars="200"/>
      <w:jc w:val="both"/>
    </w:pPr>
    <w:rPr>
      <w:rFonts w:ascii="Times New Roman" w:hAnsi="Times New Roman" w:eastAsia="仿宋_GB2312" w:cs="Times New Roman"/>
      <w:kern w:val="2"/>
      <w:sz w:val="32"/>
      <w:szCs w:val="24"/>
      <w:lang w:val="en-US" w:eastAsia="zh-CN" w:bidi="ar-SA"/>
    </w:rPr>
  </w:style>
  <w:style w:type="paragraph" w:styleId="3">
    <w:name w:val="heading 1"/>
    <w:basedOn w:val="1"/>
    <w:next w:val="1"/>
    <w:qFormat/>
    <w:uiPriority w:val="0"/>
    <w:pPr>
      <w:spacing w:line="700" w:lineRule="exact"/>
      <w:ind w:firstLine="0" w:firstLineChars="0"/>
      <w:jc w:val="center"/>
      <w:outlineLvl w:val="0"/>
    </w:pPr>
    <w:rPr>
      <w:rFonts w:ascii="Times New Roman" w:hAnsi="Times New Roman" w:eastAsia="方正小标宋简体"/>
      <w:bCs/>
      <w:kern w:val="44"/>
      <w:sz w:val="44"/>
      <w:szCs w:val="44"/>
    </w:rPr>
  </w:style>
  <w:style w:type="paragraph" w:styleId="4">
    <w:name w:val="heading 2"/>
    <w:basedOn w:val="1"/>
    <w:next w:val="1"/>
    <w:qFormat/>
    <w:uiPriority w:val="0"/>
    <w:pPr>
      <w:outlineLvl w:val="1"/>
    </w:pPr>
    <w:rPr>
      <w:rFonts w:ascii="Times New Roman" w:hAnsi="Times New Roman" w:eastAsia="黑体"/>
      <w:bCs/>
      <w:szCs w:val="32"/>
    </w:rPr>
  </w:style>
  <w:style w:type="paragraph" w:styleId="5">
    <w:name w:val="heading 3"/>
    <w:basedOn w:val="1"/>
    <w:next w:val="1"/>
    <w:link w:val="11"/>
    <w:qFormat/>
    <w:uiPriority w:val="0"/>
    <w:pPr>
      <w:outlineLvl w:val="2"/>
    </w:pPr>
    <w:rPr>
      <w:rFonts w:ascii="Times New Roman" w:hAnsi="Times New Roman" w:eastAsia="楷体_GB2312"/>
      <w:b/>
      <w:bCs/>
      <w:szCs w:val="32"/>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customStyle="1" w:styleId="2">
    <w:name w:val="首行缩进"/>
    <w:basedOn w:val="1"/>
    <w:qFormat/>
    <w:uiPriority w:val="0"/>
    <w:pPr>
      <w:ind w:firstLine="480" w:firstLineChars="200"/>
    </w:pPr>
    <w:rPr>
      <w:lang w:val="zh-CN"/>
    </w:rPr>
  </w:style>
  <w:style w:type="paragraph" w:styleId="6">
    <w:name w:val="footer"/>
    <w:basedOn w:val="1"/>
    <w:qFormat/>
    <w:uiPriority w:val="0"/>
    <w:pPr>
      <w:tabs>
        <w:tab w:val="center" w:pos="4153"/>
        <w:tab w:val="right" w:pos="8306"/>
      </w:tabs>
      <w:snapToGrid w:val="0"/>
      <w:spacing w:line="240" w:lineRule="atLeast"/>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spacing w:line="240" w:lineRule="atLeast"/>
      <w:jc w:val="center"/>
    </w:pPr>
    <w:rPr>
      <w:sz w:val="18"/>
      <w:szCs w:val="18"/>
    </w:rPr>
  </w:style>
  <w:style w:type="character" w:styleId="10">
    <w:name w:val="page number"/>
    <w:basedOn w:val="9"/>
    <w:qFormat/>
    <w:uiPriority w:val="0"/>
  </w:style>
  <w:style w:type="character" w:customStyle="1" w:styleId="11">
    <w:name w:val="标题 3 Char"/>
    <w:link w:val="5"/>
    <w:qFormat/>
    <w:uiPriority w:val="0"/>
    <w:rPr>
      <w:rFonts w:ascii="Times New Roman" w:hAnsi="Times New Roman" w:eastAsia="楷体_GB2312"/>
      <w:b/>
      <w:bCs/>
      <w:szCs w:val="3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false"/>
        </a:gradFill>
        <a:gradFill>
          <a:gsLst>
            <a:gs pos="0">
              <a:schemeClr val="phClr">
                <a:hueOff val="-2520000"/>
              </a:schemeClr>
            </a:gs>
            <a:gs pos="100000">
              <a:schemeClr val="phClr"/>
            </a:gs>
          </a:gsLst>
          <a:lin ang="2700000" scaled="false"/>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true"/>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3735</Words>
  <Characters>4025</Characters>
  <Lines>0</Lines>
  <Paragraphs>0</Paragraphs>
  <TotalTime>0</TotalTime>
  <ScaleCrop>false</ScaleCrop>
  <LinksUpToDate>false</LinksUpToDate>
  <CharactersWithSpaces>4078</CharactersWithSpaces>
  <Application>WPS Office_11.8.2.9864_F1E327BC-269C-435d-A152-05C5408002CA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2024-10-12T06:31:00Z</dcterms:created>
  <dc:creator>雯雯坨</dc:creator>
  <cp:lastModifiedBy>greatwall</cp:lastModifiedBy>
  <dcterms:modified xsi:type="dcterms:W3CDTF">2025-04-08T09:49:51Z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2052-11.8.2.9864</vt:lpwstr>
  </property>
  <property fmtid="{D5CDD505-2E9C-101B-9397-08002B2CF9AE}" pid="3" name="ICV">
    <vt:lpwstr>27A40B8A239C4AD885CFD3FC14850D60_13</vt:lpwstr>
  </property>
</Properties>
</file>