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rPr>
          <w:rStyle w:val="11"/>
          <w:rFonts w:ascii="黑体" w:hAnsi="黑体" w:eastAsia="黑体" w:cs="宋体"/>
          <w:b w:val="0"/>
          <w:bCs w:val="0"/>
          <w:color w:val="000000"/>
          <w:sz w:val="44"/>
          <w:szCs w:val="44"/>
        </w:rPr>
      </w:pPr>
      <w:bookmarkStart w:id="0" w:name="_Toc25369"/>
      <w:r>
        <w:rPr>
          <w:rStyle w:val="11"/>
          <w:rFonts w:hint="eastAsia" w:ascii="黑体" w:hAnsi="黑体" w:eastAsia="黑体" w:cs="宋体"/>
          <w:b w:val="0"/>
          <w:bCs w:val="0"/>
          <w:color w:val="000000"/>
          <w:sz w:val="44"/>
          <w:szCs w:val="44"/>
        </w:rPr>
        <w:t>胶体金快速检测项目比选</w:t>
      </w:r>
      <w:r>
        <w:rPr>
          <w:rFonts w:hint="eastAsia" w:ascii="黑体" w:hAnsi="黑体" w:eastAsia="黑体" w:cs="宋体"/>
          <w:b w:val="0"/>
          <w:bCs w:val="0"/>
          <w:color w:val="000000"/>
          <w:sz w:val="44"/>
          <w:szCs w:val="44"/>
        </w:rPr>
        <w:t>评审办法</w:t>
      </w:r>
      <w:bookmarkEnd w:id="0"/>
    </w:p>
    <w:p>
      <w:pPr>
        <w:widowControl/>
        <w:adjustRightInd w:val="0"/>
        <w:snapToGrid w:val="0"/>
        <w:spacing w:line="360" w:lineRule="auto"/>
        <w:rPr>
          <w:b/>
          <w:bCs/>
          <w:color w:val="000000"/>
          <w:sz w:val="24"/>
        </w:rPr>
      </w:pPr>
    </w:p>
    <w:p>
      <w:pPr>
        <w:widowControl/>
        <w:adjustRightInd w:val="0"/>
        <w:snapToGrid w:val="0"/>
        <w:spacing w:line="360" w:lineRule="auto"/>
        <w:rPr>
          <w:b/>
          <w:bCs/>
          <w:color w:val="000000"/>
          <w:sz w:val="24"/>
        </w:rPr>
      </w:pPr>
      <w:r>
        <w:rPr>
          <w:rFonts w:hint="eastAsia"/>
          <w:b/>
          <w:bCs/>
          <w:color w:val="000000"/>
          <w:sz w:val="24"/>
        </w:rPr>
        <w:t>一、评审办法</w:t>
      </w:r>
      <w:bookmarkStart w:id="36" w:name="_GoBack"/>
      <w:bookmarkEnd w:id="36"/>
    </w:p>
    <w:p>
      <w:pPr>
        <w:widowControl/>
        <w:adjustRightInd w:val="0"/>
        <w:snapToGrid w:val="0"/>
        <w:spacing w:line="360" w:lineRule="auto"/>
        <w:ind w:firstLine="480" w:firstLineChars="200"/>
        <w:rPr>
          <w:bCs/>
          <w:color w:val="000000"/>
          <w:sz w:val="24"/>
        </w:rPr>
      </w:pPr>
      <w:r>
        <w:rPr>
          <w:rFonts w:hint="eastAsia"/>
          <w:bCs/>
          <w:color w:val="000000"/>
          <w:sz w:val="24"/>
        </w:rPr>
        <w:t>1.本项目采用综合评分法。</w:t>
      </w:r>
    </w:p>
    <w:p>
      <w:pPr>
        <w:widowControl/>
        <w:adjustRightInd w:val="0"/>
        <w:snapToGrid w:val="0"/>
        <w:spacing w:line="360" w:lineRule="auto"/>
        <w:ind w:firstLine="480" w:firstLineChars="200"/>
        <w:rPr>
          <w:bCs/>
          <w:color w:val="000000"/>
          <w:sz w:val="24"/>
        </w:rPr>
      </w:pPr>
      <w:r>
        <w:rPr>
          <w:rFonts w:hint="eastAsia"/>
          <w:bCs/>
          <w:color w:val="000000"/>
          <w:sz w:val="24"/>
        </w:rPr>
        <w:t>2.综合评分法：是指响应文件满足比选文件全部实质性要求且按评审因素的量化指标评审得分最高的供应商为成交候选供应商的评审方法。</w:t>
      </w:r>
    </w:p>
    <w:p>
      <w:pPr>
        <w:widowControl/>
        <w:adjustRightInd w:val="0"/>
        <w:snapToGrid w:val="0"/>
        <w:spacing w:line="360" w:lineRule="auto"/>
        <w:ind w:firstLine="480" w:firstLineChars="200"/>
        <w:rPr>
          <w:bCs/>
          <w:color w:val="000000"/>
          <w:sz w:val="24"/>
        </w:rPr>
      </w:pPr>
      <w:r>
        <w:rPr>
          <w:rFonts w:hint="eastAsia"/>
          <w:bCs/>
          <w:color w:val="000000"/>
          <w:sz w:val="24"/>
        </w:rPr>
        <w:t>3.综合评分法中的价格分统一采用低价优先法计算，即满足比选文件要求且报价最低的供应商的价格为磋商基准价，其价格分为满分。其他供应商的价格分统一按照下列公式计算：磋商报价得分=（磋商基准价/最后磋商报价）*价格权值*100</w:t>
      </w:r>
    </w:p>
    <w:p>
      <w:pPr>
        <w:widowControl/>
        <w:adjustRightInd w:val="0"/>
        <w:snapToGrid w:val="0"/>
        <w:spacing w:line="360" w:lineRule="auto"/>
        <w:jc w:val="center"/>
        <w:rPr>
          <w:b/>
          <w:bCs/>
          <w:color w:val="000000"/>
          <w:sz w:val="28"/>
          <w:szCs w:val="28"/>
        </w:rPr>
      </w:pPr>
      <w:r>
        <w:rPr>
          <w:rFonts w:hint="eastAsia"/>
          <w:b/>
          <w:bCs/>
          <w:color w:val="000000"/>
          <w:sz w:val="28"/>
          <w:szCs w:val="28"/>
        </w:rPr>
        <w:t>详细评审细则</w:t>
      </w:r>
    </w:p>
    <w:tbl>
      <w:tblPr>
        <w:tblStyle w:val="6"/>
        <w:tblW w:w="5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039"/>
        <w:gridCol w:w="855"/>
        <w:gridCol w:w="7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2095" w:type="dxa"/>
            <w:gridSpan w:val="2"/>
            <w:tcBorders>
              <w:top w:val="single" w:color="auto" w:sz="4" w:space="0"/>
              <w:left w:val="single" w:color="auto" w:sz="4" w:space="0"/>
              <w:bottom w:val="single" w:color="auto" w:sz="4" w:space="0"/>
              <w:right w:val="single" w:color="auto" w:sz="4" w:space="0"/>
            </w:tcBorders>
            <w:vAlign w:val="center"/>
          </w:tcPr>
          <w:p>
            <w:pPr>
              <w:jc w:val="center"/>
              <w:rPr>
                <w:rFonts w:cs="仿宋"/>
                <w:b/>
                <w:color w:val="000000" w:themeColor="text1"/>
                <w:spacing w:val="-4"/>
                <w:sz w:val="24"/>
              </w:rPr>
            </w:pPr>
            <w:r>
              <w:rPr>
                <w:rFonts w:cs="仿宋_GB2312"/>
                <w:b/>
                <w:color w:val="000000" w:themeColor="text1"/>
                <w:sz w:val="24"/>
              </w:rPr>
              <w:t>评审因素</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rFonts w:cs="仿宋"/>
                <w:b/>
                <w:color w:val="000000" w:themeColor="text1"/>
                <w:spacing w:val="-4"/>
                <w:sz w:val="24"/>
              </w:rPr>
            </w:pPr>
            <w:r>
              <w:rPr>
                <w:rFonts w:cs="仿宋"/>
                <w:b/>
                <w:color w:val="000000" w:themeColor="text1"/>
                <w:spacing w:val="-4"/>
                <w:sz w:val="24"/>
              </w:rPr>
              <w:t>分值</w:t>
            </w:r>
          </w:p>
        </w:tc>
        <w:tc>
          <w:tcPr>
            <w:tcW w:w="7089" w:type="dxa"/>
            <w:tcBorders>
              <w:top w:val="single" w:color="auto" w:sz="4" w:space="0"/>
              <w:left w:val="single" w:color="auto" w:sz="4" w:space="0"/>
              <w:bottom w:val="single" w:color="auto" w:sz="4" w:space="0"/>
              <w:right w:val="single" w:color="auto" w:sz="4" w:space="0"/>
            </w:tcBorders>
            <w:vAlign w:val="center"/>
          </w:tcPr>
          <w:p>
            <w:pPr>
              <w:jc w:val="center"/>
              <w:rPr>
                <w:rFonts w:cs="仿宋"/>
                <w:b/>
                <w:color w:val="000000" w:themeColor="text1"/>
                <w:spacing w:val="-4"/>
                <w:sz w:val="24"/>
              </w:rPr>
            </w:pPr>
            <w:r>
              <w:rPr>
                <w:rFonts w:cs="仿宋"/>
                <w:b/>
                <w:color w:val="000000" w:themeColor="text1"/>
                <w:spacing w:val="-4"/>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1" w:hRule="atLeast"/>
          <w:jc w:val="center"/>
        </w:trPr>
        <w:tc>
          <w:tcPr>
            <w:tcW w:w="209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仿宋_GB2312"/>
                <w:color w:val="000000" w:themeColor="text1"/>
                <w:sz w:val="24"/>
              </w:rPr>
            </w:pPr>
            <w:r>
              <w:rPr>
                <w:rFonts w:cs="仿宋_GB2312"/>
                <w:color w:val="000000" w:themeColor="text1"/>
                <w:sz w:val="24"/>
              </w:rPr>
              <w:t>比选报价</w:t>
            </w:r>
          </w:p>
          <w:p>
            <w:pPr>
              <w:adjustRightInd w:val="0"/>
              <w:snapToGrid w:val="0"/>
              <w:jc w:val="center"/>
              <w:rPr>
                <w:rFonts w:cs="仿宋_GB2312"/>
                <w:color w:val="000000" w:themeColor="text1"/>
                <w:sz w:val="24"/>
              </w:rPr>
            </w:pPr>
            <w:bookmarkStart w:id="1" w:name="OLE_LINK20"/>
            <w:bookmarkStart w:id="2" w:name="OLE_LINK19"/>
            <w:r>
              <w:rPr>
                <w:rFonts w:hint="eastAsia" w:cs="仿宋_GB2312"/>
                <w:color w:val="000000" w:themeColor="text1"/>
                <w:sz w:val="24"/>
              </w:rPr>
              <w:t>(总分20分</w:t>
            </w:r>
            <w:bookmarkEnd w:id="1"/>
            <w:bookmarkEnd w:id="2"/>
            <w:r>
              <w:rPr>
                <w:rFonts w:hint="eastAsia" w:cs="仿宋_GB2312"/>
                <w:color w:val="000000" w:themeColor="text1"/>
                <w:sz w:val="24"/>
              </w:rPr>
              <w:t>)</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rFonts w:cs="仿宋"/>
                <w:color w:val="000000" w:themeColor="text1"/>
                <w:spacing w:val="-4"/>
                <w:sz w:val="24"/>
              </w:rPr>
            </w:pPr>
            <w:r>
              <w:rPr>
                <w:rFonts w:cs="仿宋"/>
                <w:color w:val="000000" w:themeColor="text1"/>
                <w:spacing w:val="-4"/>
                <w:sz w:val="24"/>
              </w:rPr>
              <w:t>20分</w:t>
            </w:r>
          </w:p>
        </w:tc>
        <w:tc>
          <w:tcPr>
            <w:tcW w:w="7089" w:type="dxa"/>
            <w:tcBorders>
              <w:top w:val="single" w:color="auto" w:sz="4" w:space="0"/>
              <w:left w:val="single" w:color="auto" w:sz="4" w:space="0"/>
              <w:bottom w:val="single" w:color="auto" w:sz="4" w:space="0"/>
              <w:right w:val="single" w:color="auto" w:sz="4" w:space="0"/>
            </w:tcBorders>
          </w:tcPr>
          <w:p>
            <w:pPr>
              <w:widowControl/>
              <w:spacing w:line="360" w:lineRule="auto"/>
              <w:rPr>
                <w:color w:val="000000" w:themeColor="text1"/>
                <w:sz w:val="24"/>
              </w:rPr>
            </w:pPr>
            <w:r>
              <w:rPr>
                <w:rFonts w:hint="eastAsia"/>
                <w:color w:val="000000" w:themeColor="text1"/>
                <w:sz w:val="24"/>
              </w:rPr>
              <w:t>以经评委会一致认定满足招标文件要求且投标价格经过扣除以后最低的评标价格为评标基准价，其价格得分计20分。其他投标人的价格得分统一按公式计算：报价得分=（评标基准价÷评标价格）×投标报价权重</w:t>
            </w:r>
          </w:p>
          <w:p>
            <w:pPr>
              <w:rPr>
                <w:rFonts w:cs="仿宋"/>
                <w:color w:val="000000" w:themeColor="text1"/>
                <w:spacing w:val="-4"/>
                <w:sz w:val="24"/>
              </w:rPr>
            </w:pPr>
            <w:r>
              <w:rPr>
                <w:rFonts w:hint="eastAsia"/>
                <w:color w:val="000000" w:themeColor="text1"/>
                <w:sz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1056" w:type="dxa"/>
            <w:vMerge w:val="restart"/>
            <w:tcBorders>
              <w:top w:val="nil"/>
              <w:left w:val="single" w:color="auto" w:sz="4" w:space="0"/>
              <w:right w:val="single" w:color="auto" w:sz="4" w:space="0"/>
            </w:tcBorders>
            <w:vAlign w:val="center"/>
          </w:tcPr>
          <w:p>
            <w:pPr>
              <w:widowControl/>
              <w:spacing w:line="360" w:lineRule="auto"/>
              <w:jc w:val="center"/>
              <w:rPr>
                <w:rFonts w:hint="eastAsia"/>
                <w:color w:val="000000"/>
                <w:sz w:val="24"/>
              </w:rPr>
            </w:pPr>
            <w:r>
              <w:rPr>
                <w:rFonts w:hint="eastAsia"/>
                <w:color w:val="000000"/>
                <w:sz w:val="24"/>
              </w:rPr>
              <w:t>商务</w:t>
            </w:r>
          </w:p>
          <w:p>
            <w:pPr>
              <w:widowControl/>
              <w:spacing w:line="360" w:lineRule="auto"/>
              <w:jc w:val="center"/>
              <w:rPr>
                <w:color w:val="000000"/>
                <w:sz w:val="24"/>
              </w:rPr>
            </w:pPr>
            <w:r>
              <w:rPr>
                <w:rFonts w:hint="eastAsia"/>
                <w:color w:val="000000"/>
                <w:sz w:val="24"/>
              </w:rPr>
              <w:t>评价项</w:t>
            </w:r>
          </w:p>
          <w:p>
            <w:pPr>
              <w:adjustRightInd w:val="0"/>
              <w:snapToGrid w:val="0"/>
              <w:jc w:val="center"/>
              <w:rPr>
                <w:rFonts w:cs="仿宋_GB2312"/>
                <w:color w:val="000000" w:themeColor="text1"/>
                <w:sz w:val="24"/>
              </w:rPr>
            </w:pPr>
            <w:r>
              <w:rPr>
                <w:rFonts w:hint="eastAsia" w:cs="仿宋_GB2312"/>
                <w:color w:val="000000" w:themeColor="text1"/>
                <w:sz w:val="24"/>
              </w:rPr>
              <w:t>(40分)</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themeColor="text1"/>
                <w:sz w:val="24"/>
              </w:rPr>
            </w:pPr>
            <w:r>
              <w:rPr>
                <w:rFonts w:hint="eastAsia"/>
                <w:sz w:val="24"/>
              </w:rPr>
              <w:t>独立承担民事责任</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rPr>
            </w:pPr>
            <w:r>
              <w:rPr>
                <w:rFonts w:hint="eastAsia"/>
                <w:color w:val="000000" w:themeColor="text1"/>
                <w:sz w:val="24"/>
              </w:rPr>
              <w:t>10分</w:t>
            </w:r>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color w:val="000000" w:themeColor="text1"/>
                <w:sz w:val="24"/>
              </w:rPr>
            </w:pPr>
            <w:r>
              <w:rPr>
                <w:rFonts w:hint="eastAsia"/>
                <w:color w:val="000000" w:themeColor="text1"/>
                <w:sz w:val="24"/>
              </w:rPr>
              <w:t>投标人为独立法人企业，营业执照经营范围包含实验室分析仪器与专用化学产品销售</w:t>
            </w:r>
            <w:bookmarkStart w:id="3" w:name="OLE_LINK29"/>
            <w:bookmarkStart w:id="4" w:name="OLE_LINK28"/>
            <w:r>
              <w:rPr>
                <w:rFonts w:hint="eastAsia"/>
                <w:color w:val="000000" w:themeColor="text1"/>
                <w:sz w:val="24"/>
              </w:rPr>
              <w:t>（计5分），</w:t>
            </w:r>
            <w:bookmarkEnd w:id="3"/>
            <w:bookmarkEnd w:id="4"/>
            <w:r>
              <w:rPr>
                <w:rFonts w:hint="eastAsia"/>
                <w:color w:val="000000" w:themeColor="text1"/>
                <w:sz w:val="24"/>
              </w:rPr>
              <w:t>农产品质量安全检测等相关技术服务类目</w:t>
            </w:r>
            <w:bookmarkStart w:id="5" w:name="OLE_LINK8"/>
            <w:bookmarkStart w:id="6" w:name="OLE_LINK9"/>
            <w:r>
              <w:rPr>
                <w:rFonts w:hint="eastAsia"/>
                <w:color w:val="000000" w:themeColor="text1"/>
                <w:sz w:val="24"/>
              </w:rPr>
              <w:t>（计5分）</w:t>
            </w:r>
            <w:bookmarkEnd w:id="5"/>
            <w:bookmarkEnd w:id="6"/>
            <w:r>
              <w:rPr>
                <w:rFonts w:hint="eastAsia"/>
                <w:color w:val="000000" w:themeColor="text1"/>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continue"/>
            <w:tcBorders>
              <w:left w:val="single" w:color="auto" w:sz="4" w:space="0"/>
              <w:right w:val="single" w:color="auto" w:sz="4" w:space="0"/>
            </w:tcBorders>
            <w:vAlign w:val="center"/>
          </w:tcPr>
          <w:p>
            <w:pPr>
              <w:widowControl/>
              <w:spacing w:line="360" w:lineRule="auto"/>
              <w:jc w:val="center"/>
              <w:rPr>
                <w:color w:val="000000"/>
                <w:sz w:val="24"/>
              </w:rPr>
            </w:pP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4"/>
              </w:rPr>
            </w:pPr>
            <w:r>
              <w:rPr>
                <w:rFonts w:hint="eastAsia"/>
                <w:sz w:val="24"/>
              </w:rPr>
              <w:t>良好的</w:t>
            </w:r>
          </w:p>
          <w:p>
            <w:pPr>
              <w:adjustRightInd w:val="0"/>
              <w:snapToGrid w:val="0"/>
              <w:jc w:val="center"/>
              <w:rPr>
                <w:sz w:val="24"/>
              </w:rPr>
            </w:pPr>
            <w:r>
              <w:rPr>
                <w:rFonts w:hint="eastAsia"/>
                <w:sz w:val="24"/>
              </w:rPr>
              <w:t>商业信誉</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rPr>
            </w:pPr>
            <w:r>
              <w:rPr>
                <w:rFonts w:hint="eastAsia"/>
                <w:color w:val="000000" w:themeColor="text1"/>
                <w:sz w:val="24"/>
              </w:rPr>
              <w:t>10分</w:t>
            </w:r>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color w:val="000000" w:themeColor="text1"/>
                <w:sz w:val="24"/>
              </w:rPr>
            </w:pPr>
            <w:r>
              <w:rPr>
                <w:rFonts w:hint="eastAsia"/>
                <w:color w:val="000000" w:themeColor="text1"/>
                <w:sz w:val="24"/>
              </w:rPr>
              <w:t>投标人</w:t>
            </w:r>
            <w:r>
              <w:rPr>
                <w:color w:val="000000" w:themeColor="text1"/>
                <w:sz w:val="24"/>
              </w:rPr>
              <w:t>资信状况优良，无重大失信记录</w:t>
            </w:r>
            <w:r>
              <w:rPr>
                <w:rFonts w:hint="eastAsia"/>
                <w:color w:val="000000" w:themeColor="text1"/>
                <w:sz w:val="24"/>
              </w:rPr>
              <w:t>（计5分），企业获评</w:t>
            </w:r>
            <w:r>
              <w:rPr>
                <w:color w:val="000000" w:themeColor="text1"/>
                <w:sz w:val="24"/>
              </w:rPr>
              <w:t>AAA级信用企业，履约能力强，经营管理规范，具备可靠的项目履约保障能力</w:t>
            </w:r>
            <w:r>
              <w:rPr>
                <w:rFonts w:hint="eastAsia"/>
                <w:color w:val="000000" w:themeColor="text1"/>
                <w:sz w:val="24"/>
              </w:rPr>
              <w:t>（计5分）</w:t>
            </w:r>
            <w:r>
              <w:rPr>
                <w:color w:val="000000" w:themeColor="text1"/>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continue"/>
            <w:tcBorders>
              <w:left w:val="single" w:color="auto" w:sz="4" w:space="0"/>
              <w:right w:val="single" w:color="auto" w:sz="4" w:space="0"/>
            </w:tcBorders>
            <w:vAlign w:val="center"/>
          </w:tcPr>
          <w:p>
            <w:pPr>
              <w:widowControl/>
              <w:spacing w:line="360" w:lineRule="auto"/>
              <w:jc w:val="center"/>
              <w:rPr>
                <w:color w:val="000000"/>
                <w:sz w:val="24"/>
              </w:rPr>
            </w:pPr>
            <w:bookmarkStart w:id="7" w:name="OLE_LINK26"/>
            <w:bookmarkStart w:id="8" w:name="OLE_LINK27"/>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4"/>
              </w:rPr>
            </w:pPr>
            <w:r>
              <w:rPr>
                <w:rFonts w:hint="eastAsia"/>
                <w:sz w:val="24"/>
              </w:rPr>
              <w:t>标准化</w:t>
            </w:r>
          </w:p>
          <w:p>
            <w:pPr>
              <w:adjustRightInd w:val="0"/>
              <w:snapToGrid w:val="0"/>
              <w:jc w:val="center"/>
              <w:rPr>
                <w:sz w:val="24"/>
              </w:rPr>
            </w:pPr>
            <w:r>
              <w:rPr>
                <w:rFonts w:hint="eastAsia"/>
                <w:sz w:val="24"/>
              </w:rPr>
              <w:t>质量管控</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rPr>
            </w:pPr>
            <w:r>
              <w:rPr>
                <w:rFonts w:hint="eastAsia"/>
                <w:color w:val="000000" w:themeColor="text1"/>
                <w:sz w:val="24"/>
              </w:rPr>
              <w:t>10分</w:t>
            </w:r>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color w:val="000000" w:themeColor="text1"/>
                <w:sz w:val="24"/>
              </w:rPr>
            </w:pPr>
            <w:bookmarkStart w:id="9" w:name="OLE_LINK10"/>
            <w:bookmarkStart w:id="10" w:name="OLE_LINK2"/>
            <w:bookmarkStart w:id="11" w:name="OLE_LINK1"/>
            <w:r>
              <w:rPr>
                <w:rFonts w:hint="eastAsia"/>
                <w:color w:val="000000" w:themeColor="text1"/>
                <w:sz w:val="24"/>
              </w:rPr>
              <w:t>投标人</w:t>
            </w:r>
            <w:bookmarkEnd w:id="9"/>
            <w:r>
              <w:rPr>
                <w:rFonts w:hint="eastAsia"/>
                <w:color w:val="000000" w:themeColor="text1"/>
                <w:sz w:val="24"/>
              </w:rPr>
              <w:t>建立标准化全过程管理机制，保障产品质量稳定可靠，具备规范化的生产与服务能力</w:t>
            </w:r>
            <w:bookmarkStart w:id="12" w:name="OLE_LINK68"/>
            <w:bookmarkStart w:id="13" w:name="OLE_LINK67"/>
            <w:r>
              <w:rPr>
                <w:rFonts w:hint="eastAsia"/>
                <w:color w:val="000000" w:themeColor="text1"/>
                <w:sz w:val="24"/>
              </w:rPr>
              <w:t>（计5分），</w:t>
            </w:r>
            <w:bookmarkEnd w:id="12"/>
            <w:bookmarkEnd w:id="13"/>
            <w:r>
              <w:rPr>
                <w:rFonts w:hint="eastAsia"/>
                <w:color w:val="000000" w:themeColor="text1"/>
                <w:sz w:val="24"/>
              </w:rPr>
              <w:t>其通过ISO质量管理体系认证范围包含农产品快速检测技术咨询服务</w:t>
            </w:r>
            <w:bookmarkEnd w:id="10"/>
            <w:bookmarkEnd w:id="11"/>
            <w:r>
              <w:rPr>
                <w:rFonts w:hint="eastAsia"/>
                <w:color w:val="000000" w:themeColor="text1"/>
                <w:sz w:val="24"/>
              </w:rPr>
              <w:t>（计5分）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continue"/>
            <w:tcBorders>
              <w:left w:val="single" w:color="auto" w:sz="4" w:space="0"/>
              <w:right w:val="single" w:color="auto" w:sz="4" w:space="0"/>
            </w:tcBorders>
            <w:vAlign w:val="center"/>
          </w:tcPr>
          <w:p>
            <w:pPr>
              <w:widowControl/>
              <w:spacing w:line="360" w:lineRule="auto"/>
              <w:jc w:val="center"/>
              <w:rPr>
                <w:color w:val="000000"/>
                <w:sz w:val="24"/>
              </w:rPr>
            </w:pP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24"/>
              </w:rPr>
            </w:pPr>
            <w:r>
              <w:rPr>
                <w:rFonts w:hint="eastAsia"/>
                <w:color w:val="000000"/>
                <w:sz w:val="24"/>
              </w:rPr>
              <w:t>成熟的</w:t>
            </w:r>
          </w:p>
          <w:p>
            <w:pPr>
              <w:adjustRightInd w:val="0"/>
              <w:snapToGrid w:val="0"/>
              <w:jc w:val="center"/>
              <w:rPr>
                <w:sz w:val="24"/>
              </w:rPr>
            </w:pPr>
            <w:r>
              <w:rPr>
                <w:rFonts w:hint="eastAsia"/>
                <w:color w:val="000000"/>
                <w:sz w:val="24"/>
              </w:rPr>
              <w:t>项目</w:t>
            </w:r>
            <w:bookmarkStart w:id="14" w:name="OLE_LINK38"/>
            <w:bookmarkStart w:id="15" w:name="OLE_LINK39"/>
            <w:r>
              <w:rPr>
                <w:rFonts w:hint="eastAsia"/>
                <w:color w:val="000000"/>
                <w:sz w:val="24"/>
              </w:rPr>
              <w:t>案例</w:t>
            </w:r>
            <w:bookmarkEnd w:id="14"/>
            <w:bookmarkEnd w:id="15"/>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rPr>
            </w:pPr>
            <w:bookmarkStart w:id="16" w:name="OLE_LINK3"/>
            <w:bookmarkStart w:id="17" w:name="OLE_LINK4"/>
            <w:r>
              <w:rPr>
                <w:rFonts w:hint="eastAsia"/>
                <w:color w:val="000000" w:themeColor="text1"/>
                <w:sz w:val="24"/>
              </w:rPr>
              <w:t>10分</w:t>
            </w:r>
            <w:bookmarkEnd w:id="16"/>
            <w:bookmarkEnd w:id="17"/>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color w:val="000000" w:themeColor="text1"/>
                <w:sz w:val="24"/>
              </w:rPr>
            </w:pPr>
            <w:bookmarkStart w:id="18" w:name="OLE_LINK32"/>
            <w:bookmarkStart w:id="19" w:name="OLE_LINK33"/>
            <w:bookmarkStart w:id="20" w:name="OLE_LINK34"/>
            <w:bookmarkStart w:id="21" w:name="OLE_LINK35"/>
            <w:r>
              <w:rPr>
                <w:rFonts w:hint="eastAsia"/>
                <w:color w:val="000000" w:themeColor="text1"/>
                <w:sz w:val="24"/>
              </w:rPr>
              <w:t>投标人</w:t>
            </w:r>
            <w:bookmarkEnd w:id="18"/>
            <w:bookmarkEnd w:id="19"/>
            <w:r>
              <w:rPr>
                <w:rFonts w:hint="eastAsia"/>
                <w:color w:val="000000" w:themeColor="text1"/>
                <w:sz w:val="24"/>
              </w:rPr>
              <w:t>提供2024年1月以来类似成功案例，</w:t>
            </w:r>
            <w:bookmarkStart w:id="22" w:name="OLE_LINK36"/>
            <w:bookmarkStart w:id="23" w:name="OLE_LINK37"/>
            <w:r>
              <w:rPr>
                <w:rFonts w:hint="eastAsia"/>
                <w:color w:val="000000" w:themeColor="text1"/>
                <w:sz w:val="24"/>
              </w:rPr>
              <w:t>具有政府检测项目外包服务能力，每提供1个合同计2分，最高计4分</w:t>
            </w:r>
            <w:bookmarkEnd w:id="22"/>
            <w:bookmarkEnd w:id="23"/>
            <w:r>
              <w:rPr>
                <w:rFonts w:hint="eastAsia"/>
                <w:color w:val="000000" w:themeColor="text1"/>
                <w:sz w:val="24"/>
              </w:rPr>
              <w:t>；具有检测室外包服务能力，每提供1个合同计2分，</w:t>
            </w:r>
            <w:bookmarkStart w:id="24" w:name="OLE_LINK81"/>
            <w:bookmarkStart w:id="25" w:name="OLE_LINK82"/>
            <w:r>
              <w:rPr>
                <w:rFonts w:hint="eastAsia"/>
                <w:color w:val="000000" w:themeColor="text1"/>
                <w:sz w:val="24"/>
              </w:rPr>
              <w:t>最高计6分</w:t>
            </w:r>
            <w:bookmarkEnd w:id="24"/>
            <w:bookmarkEnd w:id="25"/>
            <w:r>
              <w:rPr>
                <w:rFonts w:hint="eastAsia"/>
                <w:color w:val="000000" w:themeColor="text1"/>
                <w:sz w:val="24"/>
              </w:rPr>
              <w:t>。（需提供合同复印件）</w:t>
            </w:r>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restart"/>
            <w:tcBorders>
              <w:left w:val="single" w:color="auto" w:sz="4" w:space="0"/>
              <w:right w:val="single" w:color="auto" w:sz="4" w:space="0"/>
            </w:tcBorders>
            <w:vAlign w:val="center"/>
          </w:tcPr>
          <w:p>
            <w:pPr>
              <w:adjustRightInd w:val="0"/>
              <w:snapToGrid w:val="0"/>
              <w:spacing w:line="360" w:lineRule="auto"/>
              <w:jc w:val="center"/>
              <w:rPr>
                <w:rFonts w:hint="eastAsia"/>
                <w:color w:val="000000"/>
                <w:sz w:val="24"/>
              </w:rPr>
            </w:pPr>
            <w:r>
              <w:rPr>
                <w:rFonts w:hint="eastAsia"/>
                <w:color w:val="000000"/>
                <w:sz w:val="24"/>
              </w:rPr>
              <w:t>技术</w:t>
            </w:r>
          </w:p>
          <w:p>
            <w:pPr>
              <w:adjustRightInd w:val="0"/>
              <w:snapToGrid w:val="0"/>
              <w:spacing w:line="360" w:lineRule="auto"/>
              <w:jc w:val="center"/>
              <w:rPr>
                <w:rFonts w:hint="eastAsia"/>
                <w:color w:val="000000"/>
                <w:sz w:val="24"/>
              </w:rPr>
            </w:pPr>
            <w:r>
              <w:rPr>
                <w:rFonts w:hint="eastAsia"/>
                <w:color w:val="000000"/>
                <w:sz w:val="24"/>
              </w:rPr>
              <w:t>评价项</w:t>
            </w:r>
          </w:p>
          <w:p>
            <w:pPr>
              <w:adjustRightInd w:val="0"/>
              <w:snapToGrid w:val="0"/>
              <w:spacing w:line="360" w:lineRule="auto"/>
              <w:jc w:val="center"/>
              <w:rPr>
                <w:color w:val="000000"/>
                <w:sz w:val="24"/>
              </w:rPr>
            </w:pPr>
            <w:r>
              <w:rPr>
                <w:rFonts w:hint="eastAsia"/>
                <w:color w:val="000000"/>
                <w:sz w:val="24"/>
              </w:rPr>
              <w:t>（40分）</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olor w:val="000000"/>
                <w:sz w:val="24"/>
              </w:rPr>
            </w:pPr>
            <w:r>
              <w:rPr>
                <w:color w:val="000000"/>
                <w:sz w:val="24"/>
              </w:rPr>
              <w:t>检测</w:t>
            </w:r>
          </w:p>
          <w:p>
            <w:pPr>
              <w:adjustRightInd w:val="0"/>
              <w:snapToGrid w:val="0"/>
              <w:jc w:val="center"/>
              <w:rPr>
                <w:color w:val="000000"/>
                <w:sz w:val="24"/>
              </w:rPr>
            </w:pPr>
            <w:r>
              <w:rPr>
                <w:color w:val="000000"/>
                <w:sz w:val="24"/>
              </w:rPr>
              <w:t>实施方案</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color w:val="000000"/>
                <w:sz w:val="24"/>
              </w:rPr>
            </w:pPr>
            <w:bookmarkStart w:id="26" w:name="OLE_LINK5"/>
            <w:r>
              <w:rPr>
                <w:rFonts w:hint="eastAsia"/>
                <w:color w:val="000000"/>
                <w:sz w:val="24"/>
              </w:rPr>
              <w:t>10分</w:t>
            </w:r>
            <w:bookmarkEnd w:id="26"/>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color w:val="000000" w:themeColor="text1"/>
                <w:sz w:val="24"/>
              </w:rPr>
            </w:pPr>
            <w:r>
              <w:rPr>
                <w:rFonts w:hint="eastAsia"/>
                <w:color w:val="000000" w:themeColor="text1"/>
                <w:sz w:val="24"/>
              </w:rPr>
              <w:t>抽检方案包括但不限于：抽样计划、人员安排、疑似阳性样品处置、样品检测指标（区分种植业、畜禽产品、水产品）、质量保证措施、应急处理以及信息化数据上传平台等，能充分结合项目实际情况、 思路清晰，措施完整可行的计10分；上述内容有缺项，每有一处内容欠完善、欠合理、分析不准确有瑕疵或不符合本采购项目特点和实际需求的，每有一处扣1分，扣完为止。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continue"/>
            <w:tcBorders>
              <w:left w:val="single" w:color="auto" w:sz="4" w:space="0"/>
              <w:right w:val="single" w:color="auto" w:sz="4" w:space="0"/>
            </w:tcBorders>
            <w:vAlign w:val="center"/>
          </w:tcPr>
          <w:p>
            <w:pPr>
              <w:adjustRightInd w:val="0"/>
              <w:snapToGrid w:val="0"/>
              <w:spacing w:line="360" w:lineRule="auto"/>
              <w:jc w:val="center"/>
              <w:rPr>
                <w:rFonts w:hint="eastAsia"/>
                <w:color w:val="000000"/>
                <w:sz w:val="24"/>
              </w:rPr>
            </w:pP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olor w:val="000000"/>
                <w:sz w:val="24"/>
              </w:rPr>
            </w:pPr>
            <w:r>
              <w:rPr>
                <w:rFonts w:hint="eastAsia"/>
                <w:color w:val="000000"/>
                <w:sz w:val="24"/>
              </w:rPr>
              <w:t>资深</w:t>
            </w:r>
          </w:p>
          <w:p>
            <w:pPr>
              <w:adjustRightInd w:val="0"/>
              <w:snapToGrid w:val="0"/>
              <w:jc w:val="center"/>
              <w:rPr>
                <w:color w:val="000000"/>
                <w:sz w:val="24"/>
              </w:rPr>
            </w:pPr>
            <w:r>
              <w:rPr>
                <w:rFonts w:hint="eastAsia"/>
                <w:color w:val="000000"/>
                <w:sz w:val="24"/>
              </w:rPr>
              <w:t>技术团队</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sz w:val="24"/>
              </w:rPr>
            </w:pPr>
            <w:r>
              <w:rPr>
                <w:rFonts w:hint="eastAsia"/>
                <w:color w:val="000000"/>
                <w:sz w:val="24"/>
              </w:rPr>
              <w:t>10分</w:t>
            </w:r>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color w:val="000000" w:themeColor="text1"/>
                <w:sz w:val="24"/>
              </w:rPr>
            </w:pPr>
            <w:bookmarkStart w:id="27" w:name="OLE_LINK50"/>
            <w:bookmarkStart w:id="28" w:name="OLE_LINK51"/>
            <w:bookmarkStart w:id="29" w:name="OLE_LINK52"/>
            <w:bookmarkStart w:id="30" w:name="OLE_LINK53"/>
            <w:r>
              <w:rPr>
                <w:rFonts w:hint="eastAsia"/>
                <w:color w:val="000000" w:themeColor="text1"/>
                <w:sz w:val="24"/>
              </w:rPr>
              <w:t>投标人</w:t>
            </w:r>
            <w:bookmarkEnd w:id="27"/>
            <w:bookmarkEnd w:id="28"/>
            <w:r>
              <w:rPr>
                <w:rFonts w:hint="eastAsia"/>
                <w:color w:val="000000" w:themeColor="text1"/>
                <w:sz w:val="24"/>
              </w:rPr>
              <w:t>需</w:t>
            </w:r>
            <w:bookmarkEnd w:id="29"/>
            <w:bookmarkEnd w:id="30"/>
            <w:r>
              <w:rPr>
                <w:rFonts w:hint="eastAsia"/>
                <w:color w:val="000000" w:themeColor="text1"/>
                <w:sz w:val="24"/>
              </w:rPr>
              <w:t>拥有</w:t>
            </w:r>
            <w:bookmarkStart w:id="31" w:name="OLE_LINK7"/>
            <w:r>
              <w:rPr>
                <w:rFonts w:hint="eastAsia"/>
                <w:color w:val="000000" w:themeColor="text1"/>
                <w:sz w:val="24"/>
              </w:rPr>
              <w:t>固定的检测队</w:t>
            </w:r>
            <w:bookmarkEnd w:id="31"/>
            <w:r>
              <w:rPr>
                <w:rFonts w:hint="eastAsia"/>
                <w:color w:val="000000" w:themeColor="text1"/>
                <w:sz w:val="24"/>
              </w:rPr>
              <w:t>伍，其检测人员不少于5人,且通过农产品食品检验员国家权威部门（中国计量测试协会或中国轻工业联合会）资格考核（计10分，每少1人扣2分，扣完为止；须提供人员身份证、证书扫描件及本单位为其缴纳的近三个月内社保证明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continue"/>
            <w:tcBorders>
              <w:left w:val="single" w:color="auto" w:sz="4" w:space="0"/>
              <w:right w:val="single" w:color="auto" w:sz="4" w:space="0"/>
            </w:tcBorders>
            <w:vAlign w:val="center"/>
          </w:tcPr>
          <w:p>
            <w:pPr>
              <w:adjustRightInd w:val="0"/>
              <w:snapToGrid w:val="0"/>
              <w:spacing w:line="360" w:lineRule="auto"/>
              <w:jc w:val="center"/>
              <w:rPr>
                <w:rFonts w:hint="eastAsia"/>
                <w:color w:val="000000"/>
                <w:sz w:val="24"/>
              </w:rPr>
            </w:pP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olor w:val="000000"/>
                <w:sz w:val="24"/>
              </w:rPr>
            </w:pPr>
            <w:r>
              <w:rPr>
                <w:color w:val="000000"/>
                <w:sz w:val="24"/>
              </w:rPr>
              <w:t>试剂</w:t>
            </w:r>
          </w:p>
          <w:p>
            <w:pPr>
              <w:adjustRightInd w:val="0"/>
              <w:snapToGrid w:val="0"/>
              <w:jc w:val="center"/>
              <w:rPr>
                <w:color w:val="000000"/>
                <w:sz w:val="24"/>
              </w:rPr>
            </w:pPr>
            <w:r>
              <w:rPr>
                <w:color w:val="000000"/>
                <w:sz w:val="24"/>
              </w:rPr>
              <w:t>合规资质</w:t>
            </w:r>
          </w:p>
          <w:p>
            <w:pPr>
              <w:adjustRightInd w:val="0"/>
              <w:snapToGrid w:val="0"/>
              <w:jc w:val="center"/>
              <w:rPr>
                <w:color w:val="000000"/>
                <w:sz w:val="24"/>
              </w:rPr>
            </w:pP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themeColor="text1"/>
                <w:sz w:val="24"/>
              </w:rPr>
            </w:pPr>
            <w:r>
              <w:rPr>
                <w:rFonts w:hint="eastAsia"/>
                <w:color w:val="000000" w:themeColor="text1"/>
                <w:sz w:val="24"/>
              </w:rPr>
              <w:t>10分</w:t>
            </w:r>
          </w:p>
        </w:tc>
        <w:tc>
          <w:tcPr>
            <w:tcW w:w="7089"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60" w:lineRule="auto"/>
              <w:rPr>
                <w:color w:val="000000" w:themeColor="text1"/>
                <w:sz w:val="24"/>
              </w:rPr>
            </w:pPr>
            <w:bookmarkStart w:id="32" w:name="OLE_LINK45"/>
            <w:bookmarkStart w:id="33" w:name="OLE_LINK46"/>
            <w:r>
              <w:rPr>
                <w:rFonts w:hint="eastAsia"/>
                <w:color w:val="000000" w:themeColor="text1"/>
                <w:sz w:val="24"/>
              </w:rPr>
              <w:t>胶体金快速检测卡通过农业农村部最新年度评价报告，蔬菜检测卡以2024年度农业农村部农产品质量标准研究中心评价报告为准（质标评字2024(047)号），水产品检测卡以2026年中国水产科学研究院验证结果为准（水科质标函【2026】100号)（计4分）,胶体金速测卡的生产厂家</w:t>
            </w:r>
            <w:bookmarkEnd w:id="32"/>
            <w:bookmarkEnd w:id="33"/>
            <w:bookmarkStart w:id="34" w:name="OLE_LINK47"/>
            <w:bookmarkStart w:id="35" w:name="OLE_LINK48"/>
            <w:r>
              <w:rPr>
                <w:rFonts w:hint="eastAsia"/>
                <w:color w:val="000000" w:themeColor="text1"/>
                <w:sz w:val="24"/>
              </w:rPr>
              <w:t>具有</w:t>
            </w:r>
            <w:bookmarkEnd w:id="34"/>
            <w:bookmarkEnd w:id="35"/>
            <w:r>
              <w:rPr>
                <w:rFonts w:hint="eastAsia"/>
                <w:color w:val="000000" w:themeColor="text1"/>
                <w:sz w:val="24"/>
              </w:rPr>
              <w:t>胶体金检测产品的实用新型专利（每个计2分，最高计6分）。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continue"/>
            <w:tcBorders>
              <w:left w:val="single" w:color="auto" w:sz="4" w:space="0"/>
              <w:right w:val="single" w:color="auto" w:sz="4" w:space="0"/>
            </w:tcBorders>
            <w:vAlign w:val="center"/>
          </w:tcPr>
          <w:p>
            <w:pPr>
              <w:adjustRightInd w:val="0"/>
              <w:snapToGrid w:val="0"/>
              <w:spacing w:line="360" w:lineRule="auto"/>
              <w:jc w:val="center"/>
              <w:rPr>
                <w:rFonts w:hint="eastAsia"/>
                <w:color w:val="000000"/>
                <w:sz w:val="24"/>
              </w:rPr>
            </w:pP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olor w:val="000000" w:themeColor="text1"/>
                <w:sz w:val="24"/>
              </w:rPr>
            </w:pPr>
            <w:r>
              <w:rPr>
                <w:rFonts w:hint="eastAsia"/>
                <w:color w:val="000000" w:themeColor="text1"/>
                <w:sz w:val="24"/>
              </w:rPr>
              <w:t>售后</w:t>
            </w:r>
          </w:p>
          <w:p>
            <w:pPr>
              <w:adjustRightInd w:val="0"/>
              <w:snapToGrid w:val="0"/>
              <w:jc w:val="center"/>
              <w:rPr>
                <w:color w:val="000000" w:themeColor="text1"/>
                <w:szCs w:val="21"/>
              </w:rPr>
            </w:pPr>
            <w:r>
              <w:rPr>
                <w:rFonts w:hint="eastAsia"/>
                <w:color w:val="000000" w:themeColor="text1"/>
                <w:sz w:val="24"/>
              </w:rPr>
              <w:t>服务能力</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themeColor="text1"/>
                <w:sz w:val="24"/>
              </w:rPr>
            </w:pPr>
            <w:r>
              <w:rPr>
                <w:rFonts w:hint="eastAsia"/>
                <w:color w:val="000000" w:themeColor="text1"/>
                <w:sz w:val="24"/>
              </w:rPr>
              <w:t>5分</w:t>
            </w:r>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color w:val="000000" w:themeColor="text1"/>
                <w:sz w:val="24"/>
              </w:rPr>
            </w:pPr>
            <w:r>
              <w:rPr>
                <w:rFonts w:hint="eastAsia"/>
                <w:color w:val="000000" w:themeColor="text1"/>
                <w:sz w:val="24"/>
              </w:rPr>
              <w:t>售后服务方案包括但不限于：保障措施、人员安排、技术支持、应急措施、售后服务时间及响应时间等。 根据投标文件中提供的售后服务方案进行评审，符合抽样需求，保障措施、人员安排、技术支持、应急措施、售后服务时间及响应时间内容完整详细、充分结合项目实际情况、思路清晰，措施完整可行的计</w:t>
            </w:r>
            <w:r>
              <w:rPr>
                <w:rFonts w:hint="eastAsia"/>
                <w:color w:val="000000" w:themeColor="text1"/>
                <w:sz w:val="24"/>
                <w:lang w:val="en-US" w:eastAsia="zh-CN"/>
              </w:rPr>
              <w:t>5</w:t>
            </w:r>
            <w:r>
              <w:rPr>
                <w:rFonts w:hint="eastAsia"/>
                <w:color w:val="000000" w:themeColor="text1"/>
                <w:sz w:val="24"/>
              </w:rPr>
              <w:t>分；上述内容有缺项，每有一处内容欠完善、欠合理、分析不准确有瑕疵或不符合本采购项目特点和实际需求的，每有一处扣1分。扣完为止。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56" w:type="dxa"/>
            <w:vMerge w:val="continue"/>
            <w:tcBorders>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color w:val="000000"/>
                <w:sz w:val="24"/>
              </w:rPr>
            </w:pP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olor w:val="auto"/>
                <w:sz w:val="24"/>
              </w:rPr>
            </w:pPr>
            <w:r>
              <w:rPr>
                <w:rFonts w:hint="eastAsia"/>
                <w:color w:val="auto"/>
                <w:sz w:val="24"/>
              </w:rPr>
              <w:t>本地</w:t>
            </w:r>
          </w:p>
          <w:p>
            <w:pPr>
              <w:adjustRightInd w:val="0"/>
              <w:snapToGrid w:val="0"/>
              <w:jc w:val="center"/>
              <w:rPr>
                <w:rFonts w:hint="eastAsia"/>
                <w:color w:val="auto"/>
                <w:sz w:val="24"/>
              </w:rPr>
            </w:pPr>
            <w:r>
              <w:rPr>
                <w:rFonts w:hint="eastAsia"/>
                <w:color w:val="auto"/>
                <w:sz w:val="24"/>
              </w:rPr>
              <w:t>服务</w:t>
            </w:r>
          </w:p>
        </w:tc>
        <w:tc>
          <w:tcPr>
            <w:tcW w:w="855"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auto"/>
                <w:sz w:val="24"/>
              </w:rPr>
            </w:pPr>
            <w:r>
              <w:rPr>
                <w:rFonts w:hint="eastAsia"/>
                <w:color w:val="auto"/>
                <w:sz w:val="24"/>
              </w:rPr>
              <w:t>5分</w:t>
            </w:r>
          </w:p>
        </w:tc>
        <w:tc>
          <w:tcPr>
            <w:tcW w:w="7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hint="eastAsia"/>
                <w:color w:val="FF0000"/>
                <w:sz w:val="24"/>
              </w:rPr>
            </w:pPr>
            <w:r>
              <w:rPr>
                <w:rFonts w:hint="eastAsia" w:ascii="宋体" w:hAnsi="宋体" w:eastAsia="宋体" w:cs="宋体"/>
                <w:color w:val="000000" w:themeColor="text1"/>
                <w:sz w:val="24"/>
              </w:rPr>
              <w:t>投标人可就近落地实施农产品快检相关服务，快速响应乡镇下沉一对一技术指导服务</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rPr>
              <w:t>针对本地特色产业定制专项采样方案，单独出具产业风险分析报告</w:t>
            </w:r>
            <w:r>
              <w:rPr>
                <w:rFonts w:hint="eastAsia" w:ascii="宋体" w:hAnsi="宋体" w:eastAsia="宋体" w:cs="宋体"/>
                <w:color w:val="000000" w:themeColor="text1"/>
                <w:sz w:val="24"/>
                <w:lang w:eastAsia="zh-CN"/>
              </w:rPr>
              <w:t>（计</w:t>
            </w:r>
            <w:r>
              <w:rPr>
                <w:rFonts w:hint="eastAsia" w:ascii="宋体" w:hAnsi="宋体" w:eastAsia="宋体" w:cs="宋体"/>
                <w:color w:val="000000" w:themeColor="text1"/>
                <w:sz w:val="24"/>
                <w:lang w:val="en-US" w:eastAsia="zh-CN"/>
              </w:rPr>
              <w:t>3分</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rPr>
              <w:t>。</w:t>
            </w:r>
            <w:r>
              <w:rPr>
                <w:rFonts w:hint="eastAsia" w:ascii="宋体" w:hAnsi="宋体" w:eastAsia="宋体" w:cs="宋体"/>
                <w:color w:val="000000" w:themeColor="text1"/>
                <w:sz w:val="24"/>
                <w:lang w:val="en-US" w:eastAsia="zh-CN"/>
              </w:rPr>
              <w:t>拥有水产品禁限用药现场检测丰富经验，能提供符合省农业农村厅统一编码要求的阿奇霉素检测卡，并提供该产品省级或以上验证报告（计2分）。</w:t>
            </w:r>
          </w:p>
        </w:tc>
      </w:tr>
      <w:bookmarkEnd w:id="7"/>
      <w:bookmarkEnd w:id="8"/>
    </w:tbl>
    <w:p>
      <w:pPr>
        <w:widowControl/>
        <w:adjustRightInd w:val="0"/>
        <w:snapToGrid w:val="0"/>
        <w:spacing w:line="360" w:lineRule="auto"/>
        <w:ind w:firstLine="240" w:firstLineChars="100"/>
        <w:rPr>
          <w:rFonts w:hint="eastAsia"/>
          <w:b/>
          <w:bCs/>
          <w:color w:val="000000"/>
          <w:sz w:val="24"/>
        </w:rPr>
      </w:pPr>
    </w:p>
    <w:p>
      <w:pPr>
        <w:widowControl/>
        <w:adjustRightInd w:val="0"/>
        <w:snapToGrid w:val="0"/>
        <w:spacing w:line="360" w:lineRule="auto"/>
        <w:ind w:firstLine="240" w:firstLineChars="100"/>
        <w:rPr>
          <w:rFonts w:hint="eastAsia"/>
          <w:b/>
          <w:bCs/>
          <w:color w:val="000000"/>
          <w:sz w:val="24"/>
        </w:rPr>
      </w:pPr>
    </w:p>
    <w:p>
      <w:pPr>
        <w:widowControl/>
        <w:adjustRightInd w:val="0"/>
        <w:snapToGrid w:val="0"/>
        <w:spacing w:line="360" w:lineRule="auto"/>
        <w:ind w:firstLine="240" w:firstLineChars="100"/>
        <w:rPr>
          <w:rFonts w:hint="eastAsia"/>
          <w:b/>
          <w:bCs/>
          <w:color w:val="000000"/>
          <w:sz w:val="24"/>
        </w:rPr>
      </w:pPr>
    </w:p>
    <w:p>
      <w:pPr>
        <w:widowControl/>
        <w:adjustRightInd w:val="0"/>
        <w:snapToGrid w:val="0"/>
        <w:spacing w:line="360" w:lineRule="auto"/>
        <w:ind w:firstLine="240" w:firstLineChars="100"/>
        <w:rPr>
          <w:b/>
          <w:bCs/>
          <w:color w:val="000000"/>
          <w:sz w:val="24"/>
        </w:rPr>
      </w:pPr>
      <w:r>
        <w:rPr>
          <w:rFonts w:hint="eastAsia"/>
          <w:b/>
          <w:bCs/>
          <w:color w:val="000000"/>
          <w:sz w:val="24"/>
        </w:rPr>
        <w:t>二、确定成交供应商</w:t>
      </w:r>
    </w:p>
    <w:p>
      <w:pPr>
        <w:widowControl/>
        <w:adjustRightInd w:val="0"/>
        <w:snapToGrid w:val="0"/>
        <w:spacing w:line="360" w:lineRule="auto"/>
        <w:ind w:firstLine="480" w:firstLineChars="200"/>
        <w:rPr>
          <w:color w:val="000000"/>
          <w:kern w:val="0"/>
          <w:sz w:val="24"/>
        </w:rPr>
      </w:pPr>
      <w:r>
        <w:rPr>
          <w:rFonts w:hint="eastAsia"/>
          <w:bCs/>
          <w:color w:val="000000"/>
          <w:sz w:val="24"/>
        </w:rPr>
        <w:t>1.</w:t>
      </w:r>
      <w:r>
        <w:rPr>
          <w:rFonts w:hint="eastAsia"/>
          <w:color w:val="000000"/>
          <w:kern w:val="0"/>
          <w:sz w:val="24"/>
        </w:rPr>
        <w:t>评审小组应当根据综合评分情况，按照评审得分由高到低的顺序提出1名成交供应商人，并编写评审报告。</w:t>
      </w:r>
    </w:p>
    <w:p>
      <w:pPr>
        <w:widowControl/>
        <w:adjustRightInd w:val="0"/>
        <w:snapToGrid w:val="0"/>
        <w:spacing w:line="360" w:lineRule="auto"/>
        <w:ind w:firstLine="480" w:firstLineChars="200"/>
        <w:rPr>
          <w:color w:val="000000"/>
          <w:sz w:val="24"/>
        </w:rPr>
      </w:pPr>
      <w:r>
        <w:rPr>
          <w:rFonts w:hint="eastAsia"/>
          <w:color w:val="000000"/>
          <w:sz w:val="24"/>
        </w:rPr>
        <w:t>2.评审得分相同的，按照最后报价由低到高的顺序推荐。评审得分且最后报价相同的，按照技术指标优劣顺序推荐</w:t>
      </w:r>
      <w:r>
        <w:rPr>
          <w:rFonts w:hint="eastAsia"/>
          <w:bCs/>
          <w:color w:val="000000"/>
          <w:sz w:val="24"/>
        </w:rPr>
        <w:t>。</w:t>
      </w:r>
    </w:p>
    <w:p>
      <w:pPr>
        <w:spacing w:line="360" w:lineRule="auto"/>
        <w:ind w:firstLine="480"/>
        <w:rPr>
          <w:sz w:val="24"/>
        </w:rPr>
      </w:pPr>
    </w:p>
    <w:p>
      <w:pPr>
        <w:spacing w:line="360" w:lineRule="auto"/>
        <w:rPr>
          <w:sz w:val="24"/>
        </w:rPr>
      </w:pPr>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Helvetica">
    <w:altName w:val="汉仪君黑-35简"/>
    <w:panose1 w:val="020B0604020202020204"/>
    <w:charset w:val="00"/>
    <w:family w:val="swiss"/>
    <w:pitch w:val="default"/>
    <w:sig w:usb0="00000000" w:usb1="00000000" w:usb2="00000009" w:usb3="00000000" w:csb0="000001FF" w:csb1="00000000"/>
  </w:font>
  <w:font w:name="Arial Unicode MS">
    <w:altName w:val="Nimbus Roman No9 L"/>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汉仪君黑-35简">
    <w:panose1 w:val="020B0604020202020204"/>
    <w:charset w:val="86"/>
    <w:family w:val="auto"/>
    <w:pitch w:val="default"/>
    <w:sig w:usb0="A00002BF" w:usb1="0ACF7CFA" w:usb2="00000016" w:usb3="00000000" w:csb0="2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95364"/>
      <w:docPartObj>
        <w:docPartGallery w:val="AutoText"/>
      </w:docPartObj>
    </w:sdtPr>
    <w:sdtContent>
      <w:p>
        <w:pPr>
          <w:pStyle w:val="4"/>
          <w:ind w:firstLine="360"/>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3C5"/>
    <w:rsid w:val="000C7DC2"/>
    <w:rsid w:val="000D007A"/>
    <w:rsid w:val="00163CF4"/>
    <w:rsid w:val="001C06D3"/>
    <w:rsid w:val="002D5361"/>
    <w:rsid w:val="0035031D"/>
    <w:rsid w:val="005002B9"/>
    <w:rsid w:val="0064637D"/>
    <w:rsid w:val="00684715"/>
    <w:rsid w:val="00695D04"/>
    <w:rsid w:val="006A5100"/>
    <w:rsid w:val="007170BF"/>
    <w:rsid w:val="007803C5"/>
    <w:rsid w:val="00855B63"/>
    <w:rsid w:val="008C57AC"/>
    <w:rsid w:val="009C0682"/>
    <w:rsid w:val="009C4BDC"/>
    <w:rsid w:val="00AC0F2A"/>
    <w:rsid w:val="00B37934"/>
    <w:rsid w:val="00BB4542"/>
    <w:rsid w:val="00C03961"/>
    <w:rsid w:val="00CA65EA"/>
    <w:rsid w:val="00CD05D3"/>
    <w:rsid w:val="00CD5783"/>
    <w:rsid w:val="00D0298B"/>
    <w:rsid w:val="00D8542A"/>
    <w:rsid w:val="00D854DF"/>
    <w:rsid w:val="00D953DD"/>
    <w:rsid w:val="00E678E3"/>
    <w:rsid w:val="00F67231"/>
    <w:rsid w:val="00FA486D"/>
    <w:rsid w:val="AA649E38"/>
    <w:rsid w:val="C7FFD33D"/>
    <w:rsid w:val="E5FB3F0B"/>
    <w:rsid w:val="FBDEEE01"/>
    <w:rsid w:val="FFCB9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宋体" w:eastAsia="宋体" w:cs="宋体"/>
      <w:kern w:val="2"/>
      <w:sz w:val="21"/>
      <w:szCs w:val="24"/>
      <w:lang w:val="en-US" w:eastAsia="zh-CN" w:bidi="ar-SA"/>
    </w:rPr>
  </w:style>
  <w:style w:type="paragraph" w:styleId="2">
    <w:name w:val="heading 1"/>
    <w:basedOn w:val="1"/>
    <w:next w:val="1"/>
    <w:link w:val="11"/>
    <w:qFormat/>
    <w:uiPriority w:val="0"/>
    <w:pPr>
      <w:keepNext/>
      <w:jc w:val="center"/>
      <w:outlineLvl w:val="0"/>
    </w:pPr>
    <w:rPr>
      <w:rFonts w:cs="Times New Roman"/>
      <w:b/>
      <w:bCs/>
      <w:kern w:val="0"/>
      <w:sz w:val="32"/>
      <w:szCs w:val="20"/>
    </w:rPr>
  </w:style>
  <w:style w:type="paragraph" w:styleId="3">
    <w:name w:val="heading 3"/>
    <w:basedOn w:val="1"/>
    <w:next w:val="1"/>
    <w:link w:val="13"/>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ind w:firstLine="200" w:firstLineChars="200"/>
    </w:pPr>
    <w:rPr>
      <w:rFonts w:ascii="Times New Roman" w:hAnsi="Times New Roman"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ind w:firstLine="200" w:firstLineChars="200"/>
      <w:jc w:val="center"/>
    </w:pPr>
    <w:rPr>
      <w:rFonts w:ascii="Times New Roman" w:hAnsi="Times New Roman" w:cstheme="minorBidi"/>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rFonts w:ascii="Times New Roman" w:hAnsi="Times New Roman" w:eastAsia="宋体"/>
      <w:sz w:val="18"/>
      <w:szCs w:val="18"/>
    </w:rPr>
  </w:style>
  <w:style w:type="character" w:customStyle="1" w:styleId="10">
    <w:name w:val="页脚 Char"/>
    <w:basedOn w:val="8"/>
    <w:link w:val="4"/>
    <w:qFormat/>
    <w:uiPriority w:val="99"/>
    <w:rPr>
      <w:rFonts w:ascii="Times New Roman" w:hAnsi="Times New Roman" w:eastAsia="宋体"/>
      <w:sz w:val="18"/>
      <w:szCs w:val="18"/>
    </w:rPr>
  </w:style>
  <w:style w:type="character" w:customStyle="1" w:styleId="11">
    <w:name w:val="标题 1 Char"/>
    <w:basedOn w:val="8"/>
    <w:link w:val="2"/>
    <w:qFormat/>
    <w:uiPriority w:val="0"/>
    <w:rPr>
      <w:rFonts w:ascii="宋体" w:hAnsi="宋体" w:eastAsia="宋体" w:cs="Times New Roman"/>
      <w:b/>
      <w:bCs/>
      <w:kern w:val="0"/>
      <w:sz w:val="32"/>
      <w:szCs w:val="20"/>
    </w:rPr>
  </w:style>
  <w:style w:type="paragraph" w:customStyle="1" w:styleId="12">
    <w:name w:val="正文1"/>
    <w:qFormat/>
    <w:uiPriority w:val="99"/>
    <w:rPr>
      <w:rFonts w:ascii="Helvetica" w:hAnsi="Arial Unicode MS" w:eastAsia="Arial Unicode MS" w:cs="Times New Roman"/>
      <w:color w:val="000000"/>
      <w:kern w:val="2"/>
      <w:sz w:val="22"/>
      <w:szCs w:val="22"/>
      <w:lang w:val="zh-CN" w:eastAsia="zh-CN" w:bidi="ar-SA"/>
    </w:rPr>
  </w:style>
  <w:style w:type="character" w:customStyle="1" w:styleId="13">
    <w:name w:val="标题 3 Char"/>
    <w:basedOn w:val="8"/>
    <w:link w:val="3"/>
    <w:semiHidden/>
    <w:qFormat/>
    <w:uiPriority w:val="9"/>
    <w:rPr>
      <w:rFonts w:ascii="宋体" w:hAnsi="宋体" w:eastAsia="宋体" w:cs="宋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270</Words>
  <Characters>1539</Characters>
  <Lines>12</Lines>
  <Paragraphs>3</Paragraphs>
  <TotalTime>21</TotalTime>
  <ScaleCrop>false</ScaleCrop>
  <LinksUpToDate>false</LinksUpToDate>
  <CharactersWithSpaces>1806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2026-08-29T14:05:00Z</dcterms:created>
  <dc:creator>kaka</dc:creator>
  <cp:lastModifiedBy>greatwall</cp:lastModifiedBy>
  <cp:lastPrinted>2026-09-07T10:52:49Z</cp:lastPrinted>
  <dcterms:modified xsi:type="dcterms:W3CDTF">2026-09-07T11:04:26Z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