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jc w:val="center"/>
        <w:rPr>
          <w:rFonts w:hint="eastAsia" w:eastAsia="宋体"/>
          <w:b/>
          <w:bCs/>
          <w:color w:val="000000"/>
          <w:sz w:val="28"/>
          <w:szCs w:val="28"/>
          <w:lang w:eastAsia="zh-CN"/>
        </w:rPr>
      </w:pPr>
      <w:r>
        <w:rPr>
          <w:rFonts w:hint="eastAsia"/>
          <w:b/>
          <w:bCs/>
          <w:color w:val="000000"/>
          <w:sz w:val="28"/>
          <w:szCs w:val="28"/>
          <w:u w:val="single"/>
          <w:lang w:val="en-US" w:eastAsia="zh-CN"/>
        </w:rPr>
        <w:t xml:space="preserve">                                </w:t>
      </w:r>
      <w:r>
        <w:rPr>
          <w:rFonts w:hint="eastAsia"/>
          <w:b/>
          <w:bCs/>
          <w:color w:val="000000"/>
          <w:sz w:val="28"/>
          <w:szCs w:val="28"/>
          <w:lang w:eastAsia="zh-CN"/>
        </w:rPr>
        <w:t>评分表</w:t>
      </w:r>
    </w:p>
    <w:tbl>
      <w:tblPr>
        <w:tblStyle w:val="6"/>
        <w:tblW w:w="52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520"/>
        <w:gridCol w:w="719"/>
        <w:gridCol w:w="5762"/>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30" w:type="pct"/>
            <w:gridSpan w:val="2"/>
            <w:tcBorders>
              <w:top w:val="single" w:color="auto" w:sz="4" w:space="0"/>
              <w:left w:val="single" w:color="auto" w:sz="4" w:space="0"/>
              <w:bottom w:val="single" w:color="auto" w:sz="4" w:space="0"/>
              <w:right w:val="single" w:color="auto" w:sz="4" w:space="0"/>
            </w:tcBorders>
            <w:vAlign w:val="center"/>
          </w:tcPr>
          <w:p>
            <w:pPr>
              <w:jc w:val="center"/>
              <w:rPr>
                <w:rFonts w:cs="仿宋"/>
                <w:b/>
                <w:color w:val="000000" w:themeColor="text1"/>
                <w:spacing w:val="-4"/>
                <w:sz w:val="24"/>
                <w14:textFill>
                  <w14:solidFill>
                    <w14:schemeClr w14:val="tx1"/>
                  </w14:solidFill>
                </w14:textFill>
              </w:rPr>
            </w:pPr>
            <w:r>
              <w:rPr>
                <w:rFonts w:cs="仿宋_GB2312"/>
                <w:b/>
                <w:color w:val="000000" w:themeColor="text1"/>
                <w:sz w:val="24"/>
                <w14:textFill>
                  <w14:solidFill>
                    <w14:schemeClr w14:val="tx1"/>
                  </w14:solidFill>
                </w14:textFill>
              </w:rPr>
              <w:t>评审因素</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cs="仿宋"/>
                <w:b/>
                <w:color w:val="000000" w:themeColor="text1"/>
                <w:spacing w:val="-4"/>
                <w:sz w:val="24"/>
                <w14:textFill>
                  <w14:solidFill>
                    <w14:schemeClr w14:val="tx1"/>
                  </w14:solidFill>
                </w14:textFill>
              </w:rPr>
            </w:pPr>
            <w:r>
              <w:rPr>
                <w:rFonts w:cs="仿宋"/>
                <w:b/>
                <w:color w:val="000000" w:themeColor="text1"/>
                <w:spacing w:val="-4"/>
                <w:sz w:val="24"/>
                <w14:textFill>
                  <w14:solidFill>
                    <w14:schemeClr w14:val="tx1"/>
                  </w14:solidFill>
                </w14:textFill>
              </w:rPr>
              <w:t>分值</w:t>
            </w:r>
          </w:p>
        </w:tc>
        <w:tc>
          <w:tcPr>
            <w:tcW w:w="3222" w:type="pct"/>
            <w:tcBorders>
              <w:top w:val="single" w:color="auto" w:sz="4" w:space="0"/>
              <w:left w:val="single" w:color="auto" w:sz="4" w:space="0"/>
              <w:bottom w:val="single" w:color="auto" w:sz="4" w:space="0"/>
              <w:right w:val="single" w:color="auto" w:sz="4" w:space="0"/>
            </w:tcBorders>
            <w:vAlign w:val="center"/>
          </w:tcPr>
          <w:p>
            <w:pPr>
              <w:jc w:val="center"/>
              <w:rPr>
                <w:rFonts w:cs="仿宋"/>
                <w:b/>
                <w:color w:val="000000" w:themeColor="text1"/>
                <w:spacing w:val="-4"/>
                <w:sz w:val="24"/>
                <w14:textFill>
                  <w14:solidFill>
                    <w14:schemeClr w14:val="tx1"/>
                  </w14:solidFill>
                </w14:textFill>
              </w:rPr>
            </w:pPr>
            <w:r>
              <w:rPr>
                <w:rFonts w:cs="仿宋"/>
                <w:b/>
                <w:color w:val="000000" w:themeColor="text1"/>
                <w:spacing w:val="-4"/>
                <w:sz w:val="24"/>
                <w14:textFill>
                  <w14:solidFill>
                    <w14:schemeClr w14:val="tx1"/>
                  </w14:solidFill>
                </w14:textFill>
              </w:rPr>
              <w:t>评分标准</w:t>
            </w:r>
          </w:p>
        </w:tc>
        <w:tc>
          <w:tcPr>
            <w:tcW w:w="645"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s="仿宋"/>
                <w:b/>
                <w:color w:val="000000" w:themeColor="text1"/>
                <w:spacing w:val="-4"/>
                <w:sz w:val="24"/>
                <w:lang w:eastAsia="zh-CN"/>
                <w14:textFill>
                  <w14:solidFill>
                    <w14:schemeClr w14:val="tx1"/>
                  </w14:solidFill>
                </w14:textFill>
              </w:rPr>
            </w:pPr>
            <w:r>
              <w:rPr>
                <w:rFonts w:hint="eastAsia" w:cs="仿宋"/>
                <w:b/>
                <w:color w:val="000000" w:themeColor="text1"/>
                <w:spacing w:val="-4"/>
                <w:sz w:val="24"/>
                <w:lang w:eastAsia="zh-CN"/>
                <w14:textFill>
                  <w14:solidFill>
                    <w14:schemeClr w14:val="tx1"/>
                  </w14:solidFill>
                </w14:textFill>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730" w:type="pct"/>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比选报价</w:t>
            </w:r>
          </w:p>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bookmarkStart w:id="0" w:name="OLE_LINK20"/>
            <w:bookmarkStart w:id="1" w:name="OLE_LINK19"/>
            <w:r>
              <w:rPr>
                <w:rFonts w:hint="eastAsia" w:ascii="仿宋_GB2312" w:hAnsi="仿宋_GB2312" w:eastAsia="仿宋_GB2312" w:cs="仿宋_GB2312"/>
                <w:color w:val="000000" w:themeColor="text1"/>
                <w:sz w:val="24"/>
                <w:szCs w:val="24"/>
                <w14:textFill>
                  <w14:solidFill>
                    <w14:schemeClr w14:val="tx1"/>
                  </w14:solidFill>
                </w14:textFill>
              </w:rPr>
              <w:t>(总分20分</w:t>
            </w:r>
            <w:bookmarkEnd w:id="0"/>
            <w:bookmarkEnd w:id="1"/>
            <w:r>
              <w:rPr>
                <w:rFonts w:hint="eastAsia" w:ascii="仿宋_GB2312" w:hAnsi="仿宋_GB2312" w:eastAsia="仿宋_GB2312" w:cs="仿宋_GB2312"/>
                <w:color w:val="000000" w:themeColor="text1"/>
                <w:sz w:val="24"/>
                <w:szCs w:val="24"/>
                <w14:textFill>
                  <w14:solidFill>
                    <w14:schemeClr w14:val="tx1"/>
                  </w14:solidFill>
                </w14:textFill>
              </w:rPr>
              <w:t>)</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pacing w:val="-4"/>
                <w:sz w:val="24"/>
                <w:szCs w:val="24"/>
                <w14:textFill>
                  <w14:solidFill>
                    <w14:schemeClr w14:val="tx1"/>
                  </w14:solidFill>
                </w14:textFill>
              </w:rPr>
            </w:pPr>
            <w:r>
              <w:rPr>
                <w:rFonts w:hint="eastAsia" w:ascii="仿宋_GB2312" w:hAnsi="仿宋_GB2312" w:eastAsia="仿宋_GB2312" w:cs="仿宋_GB2312"/>
                <w:color w:val="000000" w:themeColor="text1"/>
                <w:spacing w:val="-4"/>
                <w:sz w:val="24"/>
                <w:szCs w:val="24"/>
                <w14:textFill>
                  <w14:solidFill>
                    <w14:schemeClr w14:val="tx1"/>
                  </w14:solidFill>
                </w14:textFill>
              </w:rPr>
              <w:t>20分</w:t>
            </w:r>
          </w:p>
        </w:tc>
        <w:tc>
          <w:tcPr>
            <w:tcW w:w="3222"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_GB2312" w:hAnsi="仿宋_GB2312" w:eastAsia="仿宋_GB2312" w:cs="仿宋_GB2312"/>
                <w:color w:val="000000" w:themeColor="text1"/>
                <w:spacing w:val="-4"/>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满足招标文件要求且投标报价中最低的投标报价为 评标基准价</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其他投标人的价格分统一</w:t>
            </w:r>
            <w:bookmarkStart w:id="35" w:name="_GoBack"/>
            <w:bookmarkEnd w:id="35"/>
            <w:r>
              <w:rPr>
                <w:rFonts w:hint="eastAsia" w:ascii="仿宋_GB2312" w:hAnsi="仿宋_GB2312" w:eastAsia="仿宋_GB2312" w:cs="仿宋_GB2312"/>
                <w:color w:val="000000" w:themeColor="text1"/>
                <w:sz w:val="24"/>
                <w:szCs w:val="24"/>
                <w14:textFill>
                  <w14:solidFill>
                    <w14:schemeClr w14:val="tx1"/>
                  </w14:solidFill>
                </w14:textFill>
              </w:rPr>
              <w:t>按照以下公式计算</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投标报价得分=(评标基准价/投标报价)×价格权值×100%</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p>
        </w:tc>
        <w:tc>
          <w:tcPr>
            <w:tcW w:w="645" w:type="pct"/>
            <w:tcBorders>
              <w:top w:val="single" w:color="auto" w:sz="4" w:space="0"/>
              <w:left w:val="single" w:color="auto" w:sz="4" w:space="0"/>
              <w:bottom w:val="single" w:color="auto" w:sz="4" w:space="0"/>
              <w:right w:val="single" w:color="auto" w:sz="4" w:space="0"/>
            </w:tcBorders>
          </w:tcPr>
          <w:p>
            <w:pPr>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439" w:type="pct"/>
            <w:vMerge w:val="restart"/>
            <w:tcBorders>
              <w:top w:val="nil"/>
              <w:left w:val="single" w:color="auto" w:sz="4" w:space="0"/>
              <w:right w:val="single" w:color="auto" w:sz="4" w:space="0"/>
            </w:tcBorders>
            <w:vAlign w:val="center"/>
          </w:tcPr>
          <w:p>
            <w:pPr>
              <w:widowControl/>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商务</w:t>
            </w:r>
          </w:p>
          <w:p>
            <w:pPr>
              <w:widowControl/>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评价项</w:t>
            </w:r>
          </w:p>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(40分)</w:t>
            </w: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独立承担民事责任</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投标人为独立法人企业，营业执照经营范围包含实验室分析仪器与专用化学产品销售</w:t>
            </w:r>
            <w:bookmarkStart w:id="2" w:name="OLE_LINK29"/>
            <w:bookmarkStart w:id="3" w:name="OLE_LINK28"/>
            <w:r>
              <w:rPr>
                <w:rFonts w:hint="eastAsia" w:ascii="仿宋_GB2312" w:hAnsi="仿宋_GB2312" w:eastAsia="仿宋_GB2312" w:cs="仿宋_GB2312"/>
                <w:color w:val="000000" w:themeColor="text1"/>
                <w:sz w:val="24"/>
                <w:szCs w:val="24"/>
                <w14:textFill>
                  <w14:solidFill>
                    <w14:schemeClr w14:val="tx1"/>
                  </w14:solidFill>
                </w14:textFill>
              </w:rPr>
              <w:t>（计5分），</w:t>
            </w:r>
            <w:bookmarkEnd w:id="2"/>
            <w:bookmarkEnd w:id="3"/>
            <w:r>
              <w:rPr>
                <w:rFonts w:hint="eastAsia" w:ascii="仿宋_GB2312" w:hAnsi="仿宋_GB2312" w:eastAsia="仿宋_GB2312" w:cs="仿宋_GB2312"/>
                <w:color w:val="000000" w:themeColor="text1"/>
                <w:sz w:val="24"/>
                <w:szCs w:val="24"/>
                <w14:textFill>
                  <w14:solidFill>
                    <w14:schemeClr w14:val="tx1"/>
                  </w14:solidFill>
                </w14:textFill>
              </w:rPr>
              <w:t>农产品质量安全检测等相关技术服务类目</w:t>
            </w:r>
            <w:bookmarkStart w:id="4" w:name="OLE_LINK9"/>
            <w:bookmarkStart w:id="5" w:name="OLE_LINK8"/>
            <w:r>
              <w:rPr>
                <w:rFonts w:hint="eastAsia" w:ascii="仿宋_GB2312" w:hAnsi="仿宋_GB2312" w:eastAsia="仿宋_GB2312" w:cs="仿宋_GB2312"/>
                <w:color w:val="000000" w:themeColor="text1"/>
                <w:sz w:val="24"/>
                <w:szCs w:val="24"/>
                <w14:textFill>
                  <w14:solidFill>
                    <w14:schemeClr w14:val="tx1"/>
                  </w14:solidFill>
                </w14:textFill>
              </w:rPr>
              <w:t>（计5分）</w:t>
            </w:r>
            <w:bookmarkEnd w:id="4"/>
            <w:bookmarkEnd w:id="5"/>
            <w:r>
              <w:rPr>
                <w:rFonts w:hint="eastAsia" w:ascii="仿宋_GB2312" w:hAnsi="仿宋_GB2312" w:eastAsia="仿宋_GB2312" w:cs="仿宋_GB2312"/>
                <w:color w:val="000000" w:themeColor="text1"/>
                <w:sz w:val="24"/>
                <w:szCs w:val="24"/>
                <w14:textFill>
                  <w14:solidFill>
                    <w14:schemeClr w14:val="tx1"/>
                  </w14:solidFill>
                </w14:textFill>
              </w:rPr>
              <w:t>。</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jc w:val="center"/>
        </w:trPr>
        <w:tc>
          <w:tcPr>
            <w:tcW w:w="439" w:type="pct"/>
            <w:vMerge w:val="continue"/>
            <w:tcBorders>
              <w:left w:val="single" w:color="auto" w:sz="4" w:space="0"/>
              <w:right w:val="single" w:color="auto" w:sz="4" w:space="0"/>
            </w:tcBorders>
            <w:vAlign w:val="center"/>
          </w:tcPr>
          <w:p>
            <w:pPr>
              <w:widowControl/>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良好的</w:t>
            </w:r>
          </w:p>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商业信誉</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投标人资信状况优良，无重大失信记录（计5分），企业获评AAA级信用企业，履约能力强，经营管理规范，具备可靠的项目履约保障能力（计5分）。</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jc w:val="center"/>
        </w:trPr>
        <w:tc>
          <w:tcPr>
            <w:tcW w:w="439" w:type="pct"/>
            <w:vMerge w:val="continue"/>
            <w:tcBorders>
              <w:left w:val="single" w:color="auto" w:sz="4" w:space="0"/>
              <w:right w:val="single" w:color="auto" w:sz="4" w:space="0"/>
            </w:tcBorders>
            <w:vAlign w:val="center"/>
          </w:tcPr>
          <w:p>
            <w:pPr>
              <w:widowControl/>
              <w:spacing w:line="360" w:lineRule="auto"/>
              <w:jc w:val="center"/>
              <w:rPr>
                <w:rFonts w:hint="eastAsia" w:ascii="仿宋_GB2312" w:hAnsi="仿宋_GB2312" w:eastAsia="仿宋_GB2312" w:cs="仿宋_GB2312"/>
                <w:color w:val="000000"/>
                <w:sz w:val="24"/>
                <w:szCs w:val="24"/>
              </w:rPr>
            </w:pPr>
            <w:bookmarkStart w:id="6" w:name="OLE_LINK27"/>
            <w:bookmarkStart w:id="7" w:name="OLE_LINK26"/>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标准化</w:t>
            </w:r>
          </w:p>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质量管控</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bookmarkStart w:id="8" w:name="OLE_LINK10"/>
            <w:bookmarkStart w:id="9" w:name="OLE_LINK1"/>
            <w:bookmarkStart w:id="10" w:name="OLE_LINK2"/>
            <w:r>
              <w:rPr>
                <w:rFonts w:hint="eastAsia" w:ascii="仿宋_GB2312" w:hAnsi="仿宋_GB2312" w:eastAsia="仿宋_GB2312" w:cs="仿宋_GB2312"/>
                <w:color w:val="000000" w:themeColor="text1"/>
                <w:sz w:val="24"/>
                <w:szCs w:val="24"/>
                <w14:textFill>
                  <w14:solidFill>
                    <w14:schemeClr w14:val="tx1"/>
                  </w14:solidFill>
                </w14:textFill>
              </w:rPr>
              <w:t>投标人</w:t>
            </w:r>
            <w:bookmarkEnd w:id="8"/>
            <w:r>
              <w:rPr>
                <w:rFonts w:hint="eastAsia" w:ascii="仿宋_GB2312" w:hAnsi="仿宋_GB2312" w:eastAsia="仿宋_GB2312" w:cs="仿宋_GB2312"/>
                <w:color w:val="000000" w:themeColor="text1"/>
                <w:sz w:val="24"/>
                <w:szCs w:val="24"/>
                <w14:textFill>
                  <w14:solidFill>
                    <w14:schemeClr w14:val="tx1"/>
                  </w14:solidFill>
                </w14:textFill>
              </w:rPr>
              <w:t>建立标准化全过程管理机制，保障产品质量稳定可靠，具备规范化的生产与服务能力</w:t>
            </w:r>
            <w:bookmarkStart w:id="11" w:name="OLE_LINK67"/>
            <w:bookmarkStart w:id="12" w:name="OLE_LINK68"/>
            <w:r>
              <w:rPr>
                <w:rFonts w:hint="eastAsia" w:ascii="仿宋_GB2312" w:hAnsi="仿宋_GB2312" w:eastAsia="仿宋_GB2312" w:cs="仿宋_GB2312"/>
                <w:color w:val="000000" w:themeColor="text1"/>
                <w:sz w:val="24"/>
                <w:szCs w:val="24"/>
                <w14:textFill>
                  <w14:solidFill>
                    <w14:schemeClr w14:val="tx1"/>
                  </w14:solidFill>
                </w14:textFill>
              </w:rPr>
              <w:t>（计5分），</w:t>
            </w:r>
            <w:bookmarkEnd w:id="11"/>
            <w:bookmarkEnd w:id="12"/>
            <w:r>
              <w:rPr>
                <w:rFonts w:hint="eastAsia" w:ascii="仿宋_GB2312" w:hAnsi="仿宋_GB2312" w:eastAsia="仿宋_GB2312" w:cs="仿宋_GB2312"/>
                <w:color w:val="000000" w:themeColor="text1"/>
                <w:sz w:val="24"/>
                <w:szCs w:val="24"/>
                <w14:textFill>
                  <w14:solidFill>
                    <w14:schemeClr w14:val="tx1"/>
                  </w14:solidFill>
                </w14:textFill>
              </w:rPr>
              <w:t>其通过ISO质量管理体系认证范围包含农产品快速检测技术咨询服务</w:t>
            </w:r>
            <w:bookmarkEnd w:id="9"/>
            <w:bookmarkEnd w:id="10"/>
            <w:r>
              <w:rPr>
                <w:rFonts w:hint="eastAsia" w:ascii="仿宋_GB2312" w:hAnsi="仿宋_GB2312" w:eastAsia="仿宋_GB2312" w:cs="仿宋_GB2312"/>
                <w:color w:val="000000" w:themeColor="text1"/>
                <w:sz w:val="24"/>
                <w:szCs w:val="24"/>
                <w14:textFill>
                  <w14:solidFill>
                    <w14:schemeClr w14:val="tx1"/>
                  </w14:solidFill>
                </w14:textFill>
              </w:rPr>
              <w:t>（计5分）</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1" w:hRule="atLeast"/>
          <w:jc w:val="center"/>
        </w:trPr>
        <w:tc>
          <w:tcPr>
            <w:tcW w:w="439" w:type="pct"/>
            <w:vMerge w:val="continue"/>
            <w:tcBorders>
              <w:left w:val="single" w:color="auto" w:sz="4" w:space="0"/>
              <w:right w:val="single" w:color="auto" w:sz="4" w:space="0"/>
            </w:tcBorders>
            <w:vAlign w:val="center"/>
          </w:tcPr>
          <w:p>
            <w:pPr>
              <w:widowControl/>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成熟的</w:t>
            </w:r>
          </w:p>
          <w:p>
            <w:pPr>
              <w:adjustRightInd w:val="0"/>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项目</w:t>
            </w:r>
            <w:bookmarkStart w:id="13" w:name="OLE_LINK39"/>
            <w:bookmarkStart w:id="14" w:name="OLE_LINK38"/>
            <w:r>
              <w:rPr>
                <w:rFonts w:hint="eastAsia" w:ascii="仿宋_GB2312" w:hAnsi="仿宋_GB2312" w:eastAsia="仿宋_GB2312" w:cs="仿宋_GB2312"/>
                <w:color w:val="000000"/>
                <w:sz w:val="24"/>
                <w:szCs w:val="24"/>
              </w:rPr>
              <w:t>案例</w:t>
            </w:r>
            <w:bookmarkEnd w:id="13"/>
            <w:bookmarkEnd w:id="14"/>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bookmarkStart w:id="15" w:name="OLE_LINK3"/>
            <w:bookmarkStart w:id="16" w:name="OLE_LINK4"/>
            <w:r>
              <w:rPr>
                <w:rFonts w:hint="eastAsia" w:ascii="仿宋_GB2312" w:hAnsi="仿宋_GB2312" w:eastAsia="仿宋_GB2312" w:cs="仿宋_GB2312"/>
                <w:color w:val="000000" w:themeColor="text1"/>
                <w:sz w:val="24"/>
                <w:szCs w:val="24"/>
                <w14:textFill>
                  <w14:solidFill>
                    <w14:schemeClr w14:val="tx1"/>
                  </w14:solidFill>
                </w14:textFill>
              </w:rPr>
              <w:t>10分</w:t>
            </w:r>
            <w:bookmarkEnd w:id="15"/>
            <w:bookmarkEnd w:id="16"/>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bookmarkStart w:id="17" w:name="OLE_LINK33"/>
            <w:bookmarkStart w:id="18" w:name="OLE_LINK32"/>
            <w:bookmarkStart w:id="19" w:name="OLE_LINK35"/>
            <w:bookmarkStart w:id="20" w:name="OLE_LINK34"/>
            <w:r>
              <w:rPr>
                <w:rFonts w:hint="eastAsia" w:ascii="仿宋_GB2312" w:hAnsi="仿宋_GB2312" w:eastAsia="仿宋_GB2312" w:cs="仿宋_GB2312"/>
                <w:color w:val="000000" w:themeColor="text1"/>
                <w:sz w:val="24"/>
                <w:szCs w:val="24"/>
                <w14:textFill>
                  <w14:solidFill>
                    <w14:schemeClr w14:val="tx1"/>
                  </w14:solidFill>
                </w14:textFill>
              </w:rPr>
              <w:t>投标人</w:t>
            </w:r>
            <w:bookmarkEnd w:id="17"/>
            <w:bookmarkEnd w:id="18"/>
            <w:r>
              <w:rPr>
                <w:rFonts w:hint="eastAsia" w:ascii="仿宋_GB2312" w:hAnsi="仿宋_GB2312" w:eastAsia="仿宋_GB2312" w:cs="仿宋_GB2312"/>
                <w:color w:val="000000" w:themeColor="text1"/>
                <w:sz w:val="24"/>
                <w:szCs w:val="24"/>
                <w14:textFill>
                  <w14:solidFill>
                    <w14:schemeClr w14:val="tx1"/>
                  </w14:solidFill>
                </w14:textFill>
              </w:rPr>
              <w:t>提供2024年1月以来类似成功案例，</w:t>
            </w:r>
            <w:bookmarkStart w:id="21" w:name="OLE_LINK36"/>
            <w:bookmarkStart w:id="22" w:name="OLE_LINK37"/>
            <w:r>
              <w:rPr>
                <w:rFonts w:hint="eastAsia" w:ascii="仿宋_GB2312" w:hAnsi="仿宋_GB2312" w:eastAsia="仿宋_GB2312" w:cs="仿宋_GB2312"/>
                <w:color w:val="000000" w:themeColor="text1"/>
                <w:sz w:val="24"/>
                <w:szCs w:val="24"/>
                <w14:textFill>
                  <w14:solidFill>
                    <w14:schemeClr w14:val="tx1"/>
                  </w14:solidFill>
                </w14:textFill>
              </w:rPr>
              <w:t>具有政府检测项目外包服务能力，每提供1个合同计2分，最高计4分</w:t>
            </w:r>
            <w:bookmarkEnd w:id="21"/>
            <w:bookmarkEnd w:id="22"/>
            <w:r>
              <w:rPr>
                <w:rFonts w:hint="eastAsia" w:ascii="仿宋_GB2312" w:hAnsi="仿宋_GB2312" w:eastAsia="仿宋_GB2312" w:cs="仿宋_GB2312"/>
                <w:color w:val="000000" w:themeColor="text1"/>
                <w:sz w:val="24"/>
                <w:szCs w:val="24"/>
                <w14:textFill>
                  <w14:solidFill>
                    <w14:schemeClr w14:val="tx1"/>
                  </w14:solidFill>
                </w14:textFill>
              </w:rPr>
              <w:t>；具有检测室外包服务能力，每提供1个合同计2分，</w:t>
            </w:r>
            <w:bookmarkStart w:id="23" w:name="OLE_LINK81"/>
            <w:bookmarkStart w:id="24" w:name="OLE_LINK82"/>
            <w:r>
              <w:rPr>
                <w:rFonts w:hint="eastAsia" w:ascii="仿宋_GB2312" w:hAnsi="仿宋_GB2312" w:eastAsia="仿宋_GB2312" w:cs="仿宋_GB2312"/>
                <w:color w:val="000000" w:themeColor="text1"/>
                <w:sz w:val="24"/>
                <w:szCs w:val="24"/>
                <w14:textFill>
                  <w14:solidFill>
                    <w14:schemeClr w14:val="tx1"/>
                  </w14:solidFill>
                </w14:textFill>
              </w:rPr>
              <w:t>最高计6分</w:t>
            </w:r>
            <w:bookmarkEnd w:id="23"/>
            <w:bookmarkEnd w:id="24"/>
            <w:r>
              <w:rPr>
                <w:rFonts w:hint="eastAsia" w:ascii="仿宋_GB2312" w:hAnsi="仿宋_GB2312" w:eastAsia="仿宋_GB2312" w:cs="仿宋_GB2312"/>
                <w:color w:val="000000" w:themeColor="text1"/>
                <w:sz w:val="24"/>
                <w:szCs w:val="24"/>
                <w14:textFill>
                  <w14:solidFill>
                    <w14:schemeClr w14:val="tx1"/>
                  </w14:solidFill>
                </w14:textFill>
              </w:rPr>
              <w:t>。（需提供合同复印件）</w:t>
            </w:r>
            <w:bookmarkEnd w:id="19"/>
            <w:bookmarkEnd w:id="20"/>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439" w:type="pct"/>
            <w:vMerge w:val="restart"/>
            <w:tcBorders>
              <w:left w:val="single" w:color="auto" w:sz="4" w:space="0"/>
              <w:right w:val="single" w:color="auto" w:sz="4"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技术</w:t>
            </w:r>
          </w:p>
          <w:p>
            <w:pPr>
              <w:adjustRightInd w:val="0"/>
              <w:snapToGrid w:val="0"/>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评价项</w:t>
            </w:r>
          </w:p>
          <w:p>
            <w:pPr>
              <w:adjustRightInd w:val="0"/>
              <w:snapToGrid w:val="0"/>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（40分）</w:t>
            </w: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检测</w:t>
            </w:r>
          </w:p>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实施方案</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4"/>
                <w:szCs w:val="24"/>
              </w:rPr>
            </w:pPr>
            <w:bookmarkStart w:id="25" w:name="OLE_LINK5"/>
            <w:r>
              <w:rPr>
                <w:rFonts w:hint="eastAsia" w:ascii="仿宋_GB2312" w:hAnsi="仿宋_GB2312" w:eastAsia="仿宋_GB2312" w:cs="仿宋_GB2312"/>
                <w:color w:val="000000"/>
                <w:sz w:val="24"/>
                <w:szCs w:val="24"/>
              </w:rPr>
              <w:t>10分</w:t>
            </w:r>
            <w:bookmarkEnd w:id="25"/>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抽检方案包括但不限于：抽样计划、人员安排、疑似阳性样品处置、样品检测指标（区分种植业、畜禽产品、水产品）、质量保证措施、应急处理以及信息化数据上传平台等，能充分结合项目实际情况、 思路清晰，措施完整可行的计10分；上述内容有缺项，每有一处内容欠完善、欠合理、分析不准确有瑕疵或不符合本采购项目特点和实际需求的，每有一处扣1分，扣完为止。</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8" w:hRule="atLeast"/>
          <w:jc w:val="center"/>
        </w:trPr>
        <w:tc>
          <w:tcPr>
            <w:tcW w:w="439" w:type="pct"/>
            <w:vMerge w:val="continue"/>
            <w:tcBorders>
              <w:left w:val="single" w:color="auto" w:sz="4" w:space="0"/>
              <w:right w:val="single" w:color="auto" w:sz="4"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资深</w:t>
            </w:r>
          </w:p>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技术团队</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bookmarkStart w:id="26" w:name="OLE_LINK51"/>
            <w:bookmarkStart w:id="27" w:name="OLE_LINK50"/>
            <w:bookmarkStart w:id="28" w:name="OLE_LINK52"/>
            <w:bookmarkStart w:id="29" w:name="OLE_LINK53"/>
            <w:r>
              <w:rPr>
                <w:rFonts w:hint="eastAsia" w:ascii="仿宋_GB2312" w:hAnsi="仿宋_GB2312" w:eastAsia="仿宋_GB2312" w:cs="仿宋_GB2312"/>
                <w:color w:val="000000" w:themeColor="text1"/>
                <w:sz w:val="24"/>
                <w:szCs w:val="24"/>
                <w14:textFill>
                  <w14:solidFill>
                    <w14:schemeClr w14:val="tx1"/>
                  </w14:solidFill>
                </w14:textFill>
              </w:rPr>
              <w:t>投标人</w:t>
            </w:r>
            <w:bookmarkEnd w:id="26"/>
            <w:bookmarkEnd w:id="27"/>
            <w:r>
              <w:rPr>
                <w:rFonts w:hint="eastAsia" w:ascii="仿宋_GB2312" w:hAnsi="仿宋_GB2312" w:eastAsia="仿宋_GB2312" w:cs="仿宋_GB2312"/>
                <w:color w:val="000000" w:themeColor="text1"/>
                <w:sz w:val="24"/>
                <w:szCs w:val="24"/>
                <w14:textFill>
                  <w14:solidFill>
                    <w14:schemeClr w14:val="tx1"/>
                  </w14:solidFill>
                </w14:textFill>
              </w:rPr>
              <w:t>需</w:t>
            </w:r>
            <w:bookmarkEnd w:id="28"/>
            <w:bookmarkEnd w:id="29"/>
            <w:r>
              <w:rPr>
                <w:rFonts w:hint="eastAsia" w:ascii="仿宋_GB2312" w:hAnsi="仿宋_GB2312" w:eastAsia="仿宋_GB2312" w:cs="仿宋_GB2312"/>
                <w:color w:val="000000" w:themeColor="text1"/>
                <w:sz w:val="24"/>
                <w:szCs w:val="24"/>
                <w14:textFill>
                  <w14:solidFill>
                    <w14:schemeClr w14:val="tx1"/>
                  </w14:solidFill>
                </w14:textFill>
              </w:rPr>
              <w:t>拥有</w:t>
            </w:r>
            <w:bookmarkStart w:id="30" w:name="OLE_LINK7"/>
            <w:r>
              <w:rPr>
                <w:rFonts w:hint="eastAsia" w:ascii="仿宋_GB2312" w:hAnsi="仿宋_GB2312" w:eastAsia="仿宋_GB2312" w:cs="仿宋_GB2312"/>
                <w:color w:val="000000" w:themeColor="text1"/>
                <w:sz w:val="24"/>
                <w:szCs w:val="24"/>
                <w14:textFill>
                  <w14:solidFill>
                    <w14:schemeClr w14:val="tx1"/>
                  </w14:solidFill>
                </w14:textFill>
              </w:rPr>
              <w:t>固定的检测队</w:t>
            </w:r>
            <w:bookmarkEnd w:id="30"/>
            <w:r>
              <w:rPr>
                <w:rFonts w:hint="eastAsia" w:ascii="仿宋_GB2312" w:hAnsi="仿宋_GB2312" w:eastAsia="仿宋_GB2312" w:cs="仿宋_GB2312"/>
                <w:color w:val="000000" w:themeColor="text1"/>
                <w:sz w:val="24"/>
                <w:szCs w:val="24"/>
                <w14:textFill>
                  <w14:solidFill>
                    <w14:schemeClr w14:val="tx1"/>
                  </w14:solidFill>
                </w14:textFill>
              </w:rPr>
              <w:t>伍，其检测人员不少于5人,且通过农产品食品检验员国家权威部门（中国计量测试协会或中国轻工业联合会）资格考核（计10分，每少1人扣2分，扣完为止；须提供人员身份证、证书扫描件及本单位为其缴纳的近三个月内社保证明并加盖投标人公章)</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6" w:hRule="atLeast"/>
          <w:jc w:val="center"/>
        </w:trPr>
        <w:tc>
          <w:tcPr>
            <w:tcW w:w="439" w:type="pct"/>
            <w:vMerge w:val="continue"/>
            <w:tcBorders>
              <w:left w:val="single" w:color="auto" w:sz="4" w:space="0"/>
              <w:right w:val="single" w:color="auto" w:sz="4"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试剂</w:t>
            </w:r>
          </w:p>
          <w:p>
            <w:pPr>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合规资质</w:t>
            </w:r>
          </w:p>
          <w:p>
            <w:pPr>
              <w:adjustRightInd w:val="0"/>
              <w:snapToGrid w:val="0"/>
              <w:jc w:val="center"/>
              <w:rPr>
                <w:rFonts w:hint="eastAsia" w:ascii="仿宋_GB2312" w:hAnsi="仿宋_GB2312" w:eastAsia="仿宋_GB2312" w:cs="仿宋_GB2312"/>
                <w:color w:val="000000"/>
                <w:sz w:val="24"/>
                <w:szCs w:val="24"/>
              </w:rPr>
            </w:pP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bookmarkStart w:id="31" w:name="OLE_LINK46"/>
            <w:bookmarkStart w:id="32" w:name="OLE_LINK45"/>
            <w:r>
              <w:rPr>
                <w:rFonts w:hint="eastAsia" w:ascii="仿宋_GB2312" w:hAnsi="仿宋_GB2312" w:eastAsia="仿宋_GB2312" w:cs="仿宋_GB2312"/>
                <w:color w:val="000000" w:themeColor="text1"/>
                <w:sz w:val="24"/>
                <w:szCs w:val="24"/>
                <w14:textFill>
                  <w14:solidFill>
                    <w14:schemeClr w14:val="tx1"/>
                  </w14:solidFill>
                </w14:textFill>
              </w:rPr>
              <w:t>胶体金快速检测卡通过农业农村部最新年度评价报告，蔬菜检测卡以2024年度农业农村部农产品质量标准研究中心评价报告为准（质标评字2024(047)号），水产品检测卡以2026年中国水产科学研究院验证结果为准（水科质标函【2026】100号)（计4分）,胶体金速测卡的生产厂家</w:t>
            </w:r>
            <w:bookmarkEnd w:id="31"/>
            <w:bookmarkEnd w:id="32"/>
            <w:bookmarkStart w:id="33" w:name="OLE_LINK48"/>
            <w:bookmarkStart w:id="34" w:name="OLE_LINK47"/>
            <w:r>
              <w:rPr>
                <w:rFonts w:hint="eastAsia" w:ascii="仿宋_GB2312" w:hAnsi="仿宋_GB2312" w:eastAsia="仿宋_GB2312" w:cs="仿宋_GB2312"/>
                <w:color w:val="000000" w:themeColor="text1"/>
                <w:sz w:val="24"/>
                <w:szCs w:val="24"/>
                <w14:textFill>
                  <w14:solidFill>
                    <w14:schemeClr w14:val="tx1"/>
                  </w14:solidFill>
                </w14:textFill>
              </w:rPr>
              <w:t>具有</w:t>
            </w:r>
            <w:bookmarkEnd w:id="33"/>
            <w:bookmarkEnd w:id="34"/>
            <w:r>
              <w:rPr>
                <w:rFonts w:hint="eastAsia" w:ascii="仿宋_GB2312" w:hAnsi="仿宋_GB2312" w:eastAsia="仿宋_GB2312" w:cs="仿宋_GB2312"/>
                <w:color w:val="000000" w:themeColor="text1"/>
                <w:sz w:val="24"/>
                <w:szCs w:val="24"/>
                <w14:textFill>
                  <w14:solidFill>
                    <w14:schemeClr w14:val="tx1"/>
                  </w14:solidFill>
                </w14:textFill>
              </w:rPr>
              <w:t>胶体金检测产品的实用新型专利（每个计2分，最高计6分）。</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439" w:type="pct"/>
            <w:vMerge w:val="continue"/>
            <w:tcBorders>
              <w:left w:val="single" w:color="auto" w:sz="4" w:space="0"/>
              <w:right w:val="single" w:color="auto" w:sz="4"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售后</w:t>
            </w:r>
          </w:p>
          <w:p>
            <w:pPr>
              <w:adjustRightInd w:val="0"/>
              <w:snapToGrid w:val="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服务能力</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售后服务方案包括但不限于：保障措施、人员安排、技术支持、应急措施、售后服务时间及响应时间等。 根据投标文件中提供的售后服务方案进行评审，符合抽样需求，保障措施、人员安排、技术支持、应急措施、售后服务时间及响应时间内容完整详细、充分结合项目实际情况、思路清晰，措施完整可行的计</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5</w:t>
            </w:r>
            <w:r>
              <w:rPr>
                <w:rFonts w:hint="eastAsia" w:ascii="仿宋_GB2312" w:hAnsi="仿宋_GB2312" w:eastAsia="仿宋_GB2312" w:cs="仿宋_GB2312"/>
                <w:color w:val="000000" w:themeColor="text1"/>
                <w:sz w:val="24"/>
                <w:szCs w:val="24"/>
                <w14:textFill>
                  <w14:solidFill>
                    <w14:schemeClr w14:val="tx1"/>
                  </w14:solidFill>
                </w14:textFill>
              </w:rPr>
              <w:t>分；上述内容有缺项，每有一处内容欠完善、欠合理、分析不准确有瑕疵或不符合本采购项目特点和实际需求的，每有一处扣1分。扣完为止。</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439" w:type="pct"/>
            <w:vMerge w:val="continue"/>
            <w:tcBorders>
              <w:left w:val="single" w:color="auto" w:sz="4" w:space="0"/>
              <w:right w:val="single" w:color="auto" w:sz="4"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4"/>
              </w:rPr>
            </w:pPr>
          </w:p>
        </w:tc>
        <w:tc>
          <w:tcPr>
            <w:tcW w:w="290"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本地</w:t>
            </w:r>
          </w:p>
          <w:p>
            <w:pPr>
              <w:adjustRightInd w:val="0"/>
              <w:snapToGrid w:val="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服务</w:t>
            </w:r>
          </w:p>
        </w:tc>
        <w:tc>
          <w:tcPr>
            <w:tcW w:w="402"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5分</w:t>
            </w:r>
          </w:p>
        </w:tc>
        <w:tc>
          <w:tcPr>
            <w:tcW w:w="3222"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FF0000"/>
                <w:sz w:val="24"/>
                <w:szCs w:val="24"/>
              </w:rPr>
            </w:pPr>
            <w:r>
              <w:rPr>
                <w:rFonts w:hint="eastAsia" w:ascii="仿宋_GB2312" w:hAnsi="仿宋_GB2312" w:eastAsia="仿宋_GB2312" w:cs="仿宋_GB2312"/>
                <w:color w:val="000000" w:themeColor="text1"/>
                <w:sz w:val="24"/>
                <w:szCs w:val="24"/>
                <w14:textFill>
                  <w14:solidFill>
                    <w14:schemeClr w14:val="tx1"/>
                  </w14:solidFill>
                </w14:textFill>
              </w:rPr>
              <w:t>投标人可就近落地实施农产品快检相关服务，快速响应乡镇下沉一对一技术指导服务</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针对本地特色产业定制专项采样方案，单独出具产业风险分析报告</w:t>
            </w:r>
            <w:r>
              <w:rPr>
                <w:rFonts w:hint="eastAsia" w:ascii="仿宋_GB2312" w:hAnsi="仿宋_GB2312" w:eastAsia="仿宋_GB2312" w:cs="仿宋_GB2312"/>
                <w:color w:val="000000" w:themeColor="text1"/>
                <w:sz w:val="24"/>
                <w:szCs w:val="24"/>
                <w:lang w:eastAsia="zh-CN"/>
                <w14:textFill>
                  <w14:solidFill>
                    <w14:schemeClr w14:val="tx1"/>
                  </w14:solidFill>
                </w14:textFill>
              </w:rPr>
              <w:t>（计</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5分</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w:t>
            </w:r>
          </w:p>
        </w:tc>
        <w:tc>
          <w:tcPr>
            <w:tcW w:w="645" w:type="pct"/>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132" w:type="pct"/>
            <w:gridSpan w:val="3"/>
            <w:tcBorders>
              <w:left w:val="single" w:color="auto" w:sz="4" w:space="0"/>
              <w:right w:val="single" w:color="auto" w:sz="4" w:space="0"/>
            </w:tcBorders>
            <w:vAlign w:val="center"/>
          </w:tcPr>
          <w:p>
            <w:pPr>
              <w:jc w:val="center"/>
              <w:rPr>
                <w:rFonts w:hint="eastAsia" w:eastAsia="宋体"/>
                <w:color w:val="auto"/>
                <w:sz w:val="24"/>
                <w:lang w:eastAsia="zh-CN"/>
              </w:rPr>
            </w:pPr>
            <w:r>
              <w:rPr>
                <w:rFonts w:hint="eastAsia"/>
                <w:b/>
                <w:bCs/>
                <w:color w:val="auto"/>
                <w:sz w:val="24"/>
                <w:lang w:eastAsia="zh-CN"/>
              </w:rPr>
              <w:t>总分</w:t>
            </w:r>
          </w:p>
        </w:tc>
        <w:tc>
          <w:tcPr>
            <w:tcW w:w="3867" w:type="pct"/>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132" w:type="pct"/>
            <w:gridSpan w:val="3"/>
            <w:tcBorders>
              <w:left w:val="single" w:color="auto" w:sz="4" w:space="0"/>
              <w:bottom w:val="single" w:color="auto" w:sz="4" w:space="0"/>
              <w:right w:val="single" w:color="auto" w:sz="4" w:space="0"/>
            </w:tcBorders>
            <w:vAlign w:val="center"/>
          </w:tcPr>
          <w:p>
            <w:pPr>
              <w:jc w:val="center"/>
              <w:rPr>
                <w:rFonts w:hint="eastAsia" w:eastAsia="宋体"/>
                <w:color w:val="auto"/>
                <w:sz w:val="24"/>
                <w:lang w:eastAsia="zh-CN"/>
              </w:rPr>
            </w:pPr>
            <w:r>
              <w:rPr>
                <w:rFonts w:hint="eastAsia"/>
                <w:b/>
                <w:bCs/>
                <w:color w:val="auto"/>
                <w:sz w:val="24"/>
                <w:lang w:eastAsia="zh-CN"/>
              </w:rPr>
              <w:t>评委签字</w:t>
            </w:r>
          </w:p>
        </w:tc>
        <w:tc>
          <w:tcPr>
            <w:tcW w:w="3867" w:type="pct"/>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000000" w:themeColor="text1"/>
                <w:sz w:val="24"/>
                <w14:textFill>
                  <w14:solidFill>
                    <w14:schemeClr w14:val="tx1"/>
                  </w14:solidFill>
                </w14:textFill>
              </w:rPr>
            </w:pPr>
          </w:p>
        </w:tc>
      </w:tr>
      <w:bookmarkEnd w:id="6"/>
      <w:bookmarkEnd w:id="7"/>
    </w:tbl>
    <w:p>
      <w:pPr>
        <w:widowControl/>
        <w:adjustRightInd w:val="0"/>
        <w:snapToGrid w:val="0"/>
        <w:spacing w:line="360" w:lineRule="auto"/>
        <w:ind w:firstLine="240" w:firstLineChars="100"/>
        <w:rPr>
          <w:rFonts w:hint="eastAsia"/>
          <w:b/>
          <w:bCs/>
          <w:color w:val="000000"/>
          <w:sz w:val="24"/>
        </w:rPr>
      </w:pPr>
    </w:p>
    <w:p>
      <w:pPr>
        <w:widowControl/>
        <w:adjustRightInd w:val="0"/>
        <w:snapToGrid w:val="0"/>
        <w:spacing w:line="360" w:lineRule="auto"/>
        <w:ind w:firstLine="240" w:firstLineChars="100"/>
        <w:rPr>
          <w:rFonts w:hint="eastAsia"/>
          <w:b/>
          <w:bCs/>
          <w:color w:val="000000"/>
          <w:sz w:val="24"/>
        </w:rPr>
      </w:pPr>
    </w:p>
    <w:p>
      <w:pPr>
        <w:widowControl/>
        <w:adjustRightInd w:val="0"/>
        <w:snapToGrid w:val="0"/>
        <w:spacing w:line="360" w:lineRule="auto"/>
        <w:ind w:firstLine="240" w:firstLineChars="100"/>
        <w:rPr>
          <w:rFonts w:hint="eastAsia"/>
          <w:b/>
          <w:bCs/>
          <w:color w:val="000000"/>
          <w:sz w:val="24"/>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Helvetica">
    <w:altName w:val="Liberation Sans"/>
    <w:panose1 w:val="020B0604020202020204"/>
    <w:charset w:val="00"/>
    <w:family w:val="swiss"/>
    <w:pitch w:val="default"/>
    <w:sig w:usb0="00000000" w:usb1="00000000" w:usb2="00000009" w:usb3="00000000" w:csb0="000001FF" w:csb1="00000000"/>
  </w:font>
  <w:font w:name="Arial Unicode MS">
    <w:altName w:val="Nimbus Roman No9 L"/>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Liberation Sans">
    <w:panose1 w:val="020B06040202020202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95364"/>
      <w:docPartObj>
        <w:docPartGallery w:val="autotext"/>
      </w:docPartObj>
    </w:sdtPr>
    <w:sdtContent>
      <w:p>
        <w:pPr>
          <w:pStyle w:val="4"/>
          <w:ind w:firstLine="360"/>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3C5"/>
    <w:rsid w:val="000C7DC2"/>
    <w:rsid w:val="000D007A"/>
    <w:rsid w:val="00163CF4"/>
    <w:rsid w:val="001C06D3"/>
    <w:rsid w:val="002D5361"/>
    <w:rsid w:val="0035031D"/>
    <w:rsid w:val="005002B9"/>
    <w:rsid w:val="0064637D"/>
    <w:rsid w:val="00684715"/>
    <w:rsid w:val="00695D04"/>
    <w:rsid w:val="006A5100"/>
    <w:rsid w:val="007170BF"/>
    <w:rsid w:val="007803C5"/>
    <w:rsid w:val="00855B63"/>
    <w:rsid w:val="008C57AC"/>
    <w:rsid w:val="009C0682"/>
    <w:rsid w:val="009C4BDC"/>
    <w:rsid w:val="00AC0F2A"/>
    <w:rsid w:val="00B37934"/>
    <w:rsid w:val="00BB4542"/>
    <w:rsid w:val="00C03961"/>
    <w:rsid w:val="00CA65EA"/>
    <w:rsid w:val="00CD05D3"/>
    <w:rsid w:val="00CD5783"/>
    <w:rsid w:val="00D0298B"/>
    <w:rsid w:val="00D8542A"/>
    <w:rsid w:val="00D854DF"/>
    <w:rsid w:val="00D953DD"/>
    <w:rsid w:val="00E678E3"/>
    <w:rsid w:val="00F67231"/>
    <w:rsid w:val="00FA486D"/>
    <w:rsid w:val="AA649E38"/>
    <w:rsid w:val="B736C884"/>
    <w:rsid w:val="C7FFD33D"/>
    <w:rsid w:val="CEDF5262"/>
    <w:rsid w:val="E5FB3F0B"/>
    <w:rsid w:val="EFF219C0"/>
    <w:rsid w:val="FBDEEE01"/>
    <w:rsid w:val="FEFFD89B"/>
    <w:rsid w:val="FFCB9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宋体" w:eastAsia="宋体" w:cs="宋体"/>
      <w:kern w:val="2"/>
      <w:sz w:val="21"/>
      <w:szCs w:val="24"/>
      <w:lang w:val="en-US" w:eastAsia="zh-CN" w:bidi="ar-SA"/>
    </w:rPr>
  </w:style>
  <w:style w:type="paragraph" w:styleId="2">
    <w:name w:val="heading 1"/>
    <w:basedOn w:val="1"/>
    <w:next w:val="1"/>
    <w:link w:val="11"/>
    <w:qFormat/>
    <w:uiPriority w:val="0"/>
    <w:pPr>
      <w:keepNext/>
      <w:jc w:val="center"/>
      <w:outlineLvl w:val="0"/>
    </w:pPr>
    <w:rPr>
      <w:rFonts w:cs="Times New Roman"/>
      <w:b/>
      <w:bCs/>
      <w:kern w:val="0"/>
      <w:sz w:val="32"/>
      <w:szCs w:val="20"/>
    </w:rPr>
  </w:style>
  <w:style w:type="paragraph" w:styleId="3">
    <w:name w:val="heading 3"/>
    <w:basedOn w:val="1"/>
    <w:next w:val="1"/>
    <w:link w:val="13"/>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ind w:firstLine="200" w:firstLineChars="200"/>
    </w:pPr>
    <w:rPr>
      <w:rFonts w:ascii="Times New Roman" w:hAnsi="Times New Roman"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ind w:firstLine="200" w:firstLineChars="200"/>
      <w:jc w:val="center"/>
    </w:pPr>
    <w:rPr>
      <w:rFonts w:ascii="Times New Roman" w:hAnsi="Times New Roman" w:cstheme="minorBidi"/>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5"/>
    <w:qFormat/>
    <w:uiPriority w:val="99"/>
    <w:rPr>
      <w:rFonts w:ascii="Times New Roman" w:hAnsi="Times New Roman" w:eastAsia="宋体"/>
      <w:sz w:val="18"/>
      <w:szCs w:val="18"/>
    </w:rPr>
  </w:style>
  <w:style w:type="character" w:customStyle="1" w:styleId="10">
    <w:name w:val="页脚 Char"/>
    <w:basedOn w:val="8"/>
    <w:link w:val="4"/>
    <w:qFormat/>
    <w:uiPriority w:val="99"/>
    <w:rPr>
      <w:rFonts w:ascii="Times New Roman" w:hAnsi="Times New Roman" w:eastAsia="宋体"/>
      <w:sz w:val="18"/>
      <w:szCs w:val="18"/>
    </w:rPr>
  </w:style>
  <w:style w:type="character" w:customStyle="1" w:styleId="11">
    <w:name w:val="标题 1 Char"/>
    <w:basedOn w:val="8"/>
    <w:link w:val="2"/>
    <w:qFormat/>
    <w:uiPriority w:val="0"/>
    <w:rPr>
      <w:rFonts w:ascii="宋体" w:hAnsi="宋体" w:eastAsia="宋体" w:cs="Times New Roman"/>
      <w:b/>
      <w:bCs/>
      <w:kern w:val="0"/>
      <w:sz w:val="32"/>
      <w:szCs w:val="20"/>
    </w:rPr>
  </w:style>
  <w:style w:type="paragraph" w:customStyle="1" w:styleId="12">
    <w:name w:val="正文1"/>
    <w:qFormat/>
    <w:uiPriority w:val="99"/>
    <w:rPr>
      <w:rFonts w:ascii="Helvetica" w:hAnsi="Arial Unicode MS" w:eastAsia="Arial Unicode MS" w:cs="Times New Roman"/>
      <w:color w:val="000000"/>
      <w:kern w:val="2"/>
      <w:sz w:val="22"/>
      <w:szCs w:val="22"/>
      <w:lang w:val="zh-CN" w:eastAsia="zh-CN" w:bidi="ar-SA"/>
    </w:rPr>
  </w:style>
  <w:style w:type="character" w:customStyle="1" w:styleId="13">
    <w:name w:val="标题 3 Char"/>
    <w:basedOn w:val="8"/>
    <w:link w:val="3"/>
    <w:semiHidden/>
    <w:qFormat/>
    <w:uiPriority w:val="9"/>
    <w:rPr>
      <w:rFonts w:ascii="宋体" w:hAnsi="宋体" w:eastAsia="宋体" w:cs="宋体"/>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270</Words>
  <Characters>1539</Characters>
  <Lines>12</Lines>
  <Paragraphs>3</Paragraphs>
  <TotalTime>158</TotalTime>
  <ScaleCrop>false</ScaleCrop>
  <LinksUpToDate>false</LinksUpToDate>
  <CharactersWithSpaces>1806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2026-08-30T22:05:00Z</dcterms:created>
  <dc:creator>kaka</dc:creator>
  <cp:lastModifiedBy>greatwall</cp:lastModifiedBy>
  <cp:lastPrinted>2026-09-20T09:08:46Z</cp:lastPrinted>
  <dcterms:modified xsi:type="dcterms:W3CDTF">2026-09-20T09:48:33Z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3EC4049508396948F31AA96A38E14829</vt:lpwstr>
  </property>
</Properties>
</file>