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r>
        <w:t>附件1</w:t>
      </w:r>
    </w:p>
    <w:p>
      <w:pPr>
        <w:spacing w:before="78" w:beforeLines="25" w:after="78" w:afterLines="25" w:line="500" w:lineRule="exact"/>
        <w:ind w:firstLine="720"/>
        <w:jc w:val="center"/>
        <w:rPr>
          <w:rFonts w:eastAsia="方正小标宋简体"/>
          <w:color w:val="000000"/>
          <w:sz w:val="36"/>
          <w:szCs w:val="36"/>
        </w:rPr>
      </w:pPr>
      <w:bookmarkStart w:id="0" w:name="_GoBack"/>
      <w:r>
        <w:rPr>
          <w:rFonts w:eastAsia="方正小标宋简体"/>
          <w:color w:val="000000"/>
          <w:sz w:val="36"/>
          <w:szCs w:val="36"/>
        </w:rPr>
        <w:t>湖南省农业农村领域首次轻微违法行为免罚清单（第一批）</w:t>
      </w:r>
    </w:p>
    <w:bookmarkEnd w:id="0"/>
    <w:tbl>
      <w:tblPr>
        <w:tblStyle w:val="7"/>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10"/>
        <w:gridCol w:w="3045"/>
        <w:gridCol w:w="7815"/>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blHeader/>
          <w:jc w:val="center"/>
        </w:trPr>
        <w:tc>
          <w:tcPr>
            <w:tcW w:w="810" w:type="dxa"/>
            <w:noWrap w:val="0"/>
            <w:vAlign w:val="center"/>
          </w:tcPr>
          <w:p>
            <w:pPr>
              <w:spacing w:line="320" w:lineRule="exact"/>
              <w:ind w:firstLine="0" w:firstLineChars="0"/>
              <w:jc w:val="center"/>
              <w:textAlignment w:val="center"/>
              <w:rPr>
                <w:rFonts w:eastAsia="黑体"/>
                <w:color w:val="000000"/>
                <w:sz w:val="24"/>
              </w:rPr>
            </w:pPr>
            <w:r>
              <w:rPr>
                <w:rFonts w:eastAsia="黑体"/>
                <w:color w:val="000000"/>
                <w:sz w:val="24"/>
              </w:rPr>
              <w:t>序号</w:t>
            </w:r>
          </w:p>
        </w:tc>
        <w:tc>
          <w:tcPr>
            <w:tcW w:w="3045" w:type="dxa"/>
            <w:noWrap w:val="0"/>
            <w:vAlign w:val="center"/>
          </w:tcPr>
          <w:p>
            <w:pPr>
              <w:spacing w:line="320" w:lineRule="exact"/>
              <w:ind w:firstLine="0" w:firstLineChars="0"/>
              <w:jc w:val="center"/>
              <w:textAlignment w:val="center"/>
              <w:rPr>
                <w:rFonts w:eastAsia="黑体"/>
                <w:color w:val="000000"/>
                <w:sz w:val="24"/>
              </w:rPr>
            </w:pPr>
            <w:r>
              <w:rPr>
                <w:rFonts w:eastAsia="黑体"/>
                <w:color w:val="000000"/>
                <w:sz w:val="24"/>
              </w:rPr>
              <w:t>违法行为</w:t>
            </w:r>
          </w:p>
        </w:tc>
        <w:tc>
          <w:tcPr>
            <w:tcW w:w="7815" w:type="dxa"/>
            <w:noWrap w:val="0"/>
            <w:vAlign w:val="center"/>
          </w:tcPr>
          <w:p>
            <w:pPr>
              <w:spacing w:line="320" w:lineRule="exact"/>
              <w:ind w:firstLine="0" w:firstLineChars="0"/>
              <w:jc w:val="center"/>
              <w:textAlignment w:val="center"/>
              <w:rPr>
                <w:rFonts w:eastAsia="黑体"/>
                <w:color w:val="000000"/>
                <w:sz w:val="24"/>
              </w:rPr>
            </w:pPr>
            <w:r>
              <w:rPr>
                <w:rFonts w:eastAsia="黑体"/>
                <w:color w:val="000000"/>
                <w:sz w:val="24"/>
              </w:rPr>
              <w:t>适用法律法规规章依据</w:t>
            </w:r>
          </w:p>
        </w:tc>
        <w:tc>
          <w:tcPr>
            <w:tcW w:w="2508" w:type="dxa"/>
            <w:noWrap w:val="0"/>
            <w:vAlign w:val="center"/>
          </w:tcPr>
          <w:p>
            <w:pPr>
              <w:spacing w:line="320" w:lineRule="exact"/>
              <w:ind w:firstLine="0" w:firstLineChars="0"/>
              <w:jc w:val="center"/>
              <w:textAlignment w:val="center"/>
              <w:rPr>
                <w:rFonts w:eastAsia="黑体"/>
                <w:color w:val="000000"/>
                <w:sz w:val="24"/>
              </w:rPr>
            </w:pPr>
            <w:r>
              <w:rPr>
                <w:rFonts w:eastAsia="黑体"/>
                <w:color w:val="000000"/>
                <w:sz w:val="24"/>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304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畜禽养殖场未建立养殖档案，或者未按照规定保存养殖档案</w:t>
            </w:r>
          </w:p>
        </w:tc>
        <w:tc>
          <w:tcPr>
            <w:tcW w:w="781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《中华人民共和国畜牧法》第四十一条：</w:t>
            </w:r>
            <w:r>
              <w:rPr>
                <w:rFonts w:ascii="Times New Roman" w:hAnsi="Times New Roman" w:eastAsia="仿宋_GB2312" w:cs="Times New Roman"/>
                <w:color w:val="000000"/>
                <w:sz w:val="24"/>
                <w:szCs w:val="24"/>
              </w:rPr>
              <w:t>畜禽养殖场应当建立养殖档案，载明以下内容：（一）畜禽的品种、数量、繁殖记录、标识情况、来源和进出场日期；（二）饲料、饲料添加剂、兽药等投入品的来源、名称、使用对象、时间和用量；（三）检疫、免疫、消毒情况；（四）畜禽发病、死亡和无害化处理情况；（五）国务院畜牧兽医行政主管部门规定的其他内容。</w:t>
            </w:r>
            <w:r>
              <w:rPr>
                <w:rFonts w:ascii="Times New Roman" w:hAnsi="Times New Roman" w:eastAsia="仿宋_GB2312" w:cs="Times New Roman"/>
                <w:b/>
                <w:bCs/>
                <w:color w:val="000000"/>
                <w:sz w:val="24"/>
                <w:szCs w:val="24"/>
              </w:rPr>
              <w:t>第六十六条：</w:t>
            </w:r>
            <w:r>
              <w:rPr>
                <w:rFonts w:ascii="Times New Roman" w:hAnsi="Times New Roman" w:eastAsia="仿宋_GB2312" w:cs="Times New Roman"/>
                <w:color w:val="000000"/>
                <w:sz w:val="24"/>
                <w:szCs w:val="24"/>
              </w:rPr>
              <w:t>违反本法第四十一条规定，畜禽养殖场未建立养殖档案的，或者</w:t>
            </w:r>
            <w:r>
              <w:rPr>
                <w:rFonts w:ascii="Times New Roman" w:hAnsi="Times New Roman" w:eastAsia="仿宋_GB2312" w:cs="Times New Roman"/>
                <w:color w:val="000000"/>
                <w:kern w:val="0"/>
                <w:sz w:val="24"/>
                <w:szCs w:val="24"/>
              </w:rPr>
              <w:t>未按照规定保存养殖档案的，由</w:t>
            </w:r>
            <w:r>
              <w:rPr>
                <w:rFonts w:ascii="Times New Roman" w:hAnsi="Times New Roman" w:eastAsia="仿宋_GB2312" w:cs="Times New Roman"/>
                <w:color w:val="000000"/>
                <w:sz w:val="24"/>
                <w:szCs w:val="24"/>
              </w:rPr>
              <w:t>县级以上人民政府畜牧兽医行政主管部</w:t>
            </w:r>
            <w:r>
              <w:rPr>
                <w:rFonts w:ascii="Times New Roman" w:hAnsi="Times New Roman" w:eastAsia="仿宋_GB2312" w:cs="Times New Roman"/>
                <w:color w:val="000000"/>
                <w:kern w:val="0"/>
                <w:sz w:val="24"/>
                <w:szCs w:val="24"/>
              </w:rPr>
              <w:t>门责令限期改正，可以</w:t>
            </w:r>
            <w:r>
              <w:rPr>
                <w:rFonts w:ascii="Times New Roman" w:hAnsi="Times New Roman" w:eastAsia="仿宋_GB2312" w:cs="Times New Roman"/>
                <w:color w:val="000000"/>
                <w:sz w:val="24"/>
                <w:szCs w:val="24"/>
              </w:rPr>
              <w:t>处一万元以下罚款。</w:t>
            </w:r>
          </w:p>
          <w:p>
            <w:pPr>
              <w:pStyle w:val="3"/>
              <w:snapToGrid w:val="0"/>
              <w:spacing w:line="320" w:lineRule="exact"/>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《中华人民共和国动物防疫法》第九十三条：</w:t>
            </w:r>
            <w:r>
              <w:rPr>
                <w:rFonts w:ascii="Times New Roman" w:hAnsi="Times New Roman" w:eastAsia="仿宋_GB2312" w:cs="Times New Roman"/>
                <w:color w:val="000000"/>
                <w:sz w:val="24"/>
                <w:szCs w:val="24"/>
              </w:rPr>
              <w:t>违反本法规定，对经强制免疫的动物未按照规定建立免疫档案，或者未按照规定加施畜禽标识的，依照《中华人民共和国畜牧法》的有关规定处罚。</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3.在</w:t>
            </w:r>
            <w:r>
              <w:rPr>
                <w:rFonts w:ascii="Times New Roman" w:hAnsi="Times New Roman" w:eastAsia="仿宋_GB2312" w:cs="Times New Roman"/>
                <w:color w:val="000000"/>
                <w:kern w:val="0"/>
                <w:sz w:val="24"/>
                <w:szCs w:val="24"/>
              </w:rPr>
              <w:t>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304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饲养的犬只未按照规定定期进行狂犬病免疫接种</w:t>
            </w:r>
          </w:p>
        </w:tc>
        <w:tc>
          <w:tcPr>
            <w:tcW w:w="7815" w:type="dxa"/>
            <w:noWrap w:val="0"/>
            <w:vAlign w:val="center"/>
          </w:tcPr>
          <w:p>
            <w:pPr>
              <w:pStyle w:val="3"/>
              <w:snapToGrid w:val="0"/>
              <w:spacing w:line="320" w:lineRule="exact"/>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《中华人民共和国动物防疫法》第九十二条第三项：</w:t>
            </w:r>
            <w:r>
              <w:rPr>
                <w:rFonts w:ascii="Times New Roman" w:hAnsi="Times New Roman" w:eastAsia="仿宋_GB2312" w:cs="Times New Roman"/>
                <w:color w:val="000000"/>
                <w:sz w:val="24"/>
                <w:szCs w:val="24"/>
              </w:rPr>
              <w:t>违反本法规定，有下列行为之一的，由县级以上地方人民政府农业</w:t>
            </w:r>
            <w:r>
              <w:rPr>
                <w:rFonts w:ascii="Times New Roman" w:hAnsi="Times New Roman" w:eastAsia="仿宋_GB2312" w:cs="Times New Roman"/>
                <w:color w:val="000000"/>
                <w:kern w:val="0"/>
                <w:sz w:val="24"/>
                <w:szCs w:val="24"/>
              </w:rPr>
              <w:t>农村主管部门责令限期改正，可以处一千元以下罚款；逾期不改正的，处一千元以上五千元以</w:t>
            </w:r>
            <w:r>
              <w:rPr>
                <w:rFonts w:ascii="Times New Roman" w:hAnsi="Times New Roman" w:eastAsia="仿宋_GB2312" w:cs="Times New Roman"/>
                <w:color w:val="000000"/>
                <w:sz w:val="24"/>
                <w:szCs w:val="24"/>
              </w:rPr>
              <w:t>下罚款，由县级以上地方人民政府农业农村主管部门委托动物诊疗机构、无害化处理场所等代为处理，所需费用由违法行为人承担:（三）对饲养的犬只未按照规定定期进行狂犬病免疫接种的。</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2.危</w:t>
            </w:r>
            <w:r>
              <w:rPr>
                <w:rFonts w:ascii="Times New Roman" w:hAnsi="Times New Roman" w:eastAsia="仿宋_GB2312" w:cs="Times New Roman"/>
                <w:color w:val="000000"/>
                <w:kern w:val="0"/>
                <w:sz w:val="24"/>
                <w:szCs w:val="24"/>
              </w:rPr>
              <w:t>害后果轻微；</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304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动物、动物产品的运载工具、垫料、包装物、容器等不符合国务院农业农村主管部门规定的动物防疫要求</w:t>
            </w:r>
          </w:p>
        </w:tc>
        <w:tc>
          <w:tcPr>
            <w:tcW w:w="7815" w:type="dxa"/>
            <w:noWrap w:val="0"/>
            <w:vAlign w:val="center"/>
          </w:tcPr>
          <w:p>
            <w:pPr>
              <w:widowControl/>
              <w:spacing w:line="320" w:lineRule="exact"/>
              <w:ind w:firstLine="0" w:firstLineChars="0"/>
              <w:textAlignment w:val="center"/>
              <w:rPr>
                <w:b/>
                <w:bCs/>
                <w:color w:val="000000"/>
                <w:sz w:val="24"/>
              </w:rPr>
            </w:pPr>
            <w:r>
              <w:rPr>
                <w:b/>
                <w:bCs/>
                <w:color w:val="000000"/>
                <w:kern w:val="0"/>
                <w:sz w:val="24"/>
              </w:rPr>
              <w:t>《中华人民共和国动物防疫法》第九十四条：</w:t>
            </w:r>
            <w:r>
              <w:rPr>
                <w:color w:val="000000"/>
                <w:kern w:val="0"/>
                <w:sz w:val="24"/>
              </w:rPr>
              <w:t>违反本法规定，动物、动物产品的运载工具、垫料、包装物、容器等不符合国务院农业农村主管部门规定的动物防疫要求的，由县级以上地方人民政府农业农村主管部门责令改</w:t>
            </w:r>
            <w:r>
              <w:rPr>
                <w:color w:val="000000"/>
                <w:spacing w:val="-6"/>
                <w:kern w:val="0"/>
                <w:sz w:val="24"/>
              </w:rPr>
              <w:t>正，可以处五千元以下罚款；情节严重的，处五千元以上五万元以下罚款。</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10" w:type="dxa"/>
            <w:noWrap w:val="0"/>
            <w:vAlign w:val="center"/>
          </w:tcPr>
          <w:p>
            <w:pPr>
              <w:pStyle w:val="3"/>
              <w:snapToGrid w:val="0"/>
              <w:spacing w:line="2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w:t>
            </w:r>
          </w:p>
        </w:tc>
        <w:tc>
          <w:tcPr>
            <w:tcW w:w="3045" w:type="dxa"/>
            <w:noWrap w:val="0"/>
            <w:vAlign w:val="center"/>
          </w:tcPr>
          <w:p>
            <w:pPr>
              <w:pStyle w:val="3"/>
              <w:snapToGrid w:val="0"/>
              <w:spacing w:line="28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经营动物、动物产品的集贸市场不具备国务院农业农村主管部门规定的防疫条件</w:t>
            </w:r>
          </w:p>
        </w:tc>
        <w:tc>
          <w:tcPr>
            <w:tcW w:w="7815" w:type="dxa"/>
            <w:noWrap w:val="0"/>
            <w:vAlign w:val="center"/>
          </w:tcPr>
          <w:p>
            <w:pPr>
              <w:widowControl/>
              <w:spacing w:line="280" w:lineRule="exact"/>
              <w:ind w:firstLine="0" w:firstLineChars="0"/>
              <w:textAlignment w:val="center"/>
              <w:rPr>
                <w:b/>
                <w:bCs/>
                <w:color w:val="000000"/>
                <w:sz w:val="24"/>
              </w:rPr>
            </w:pPr>
            <w:r>
              <w:rPr>
                <w:b/>
                <w:bCs/>
                <w:color w:val="000000"/>
                <w:kern w:val="0"/>
                <w:sz w:val="24"/>
              </w:rPr>
              <w:t>《中华人民共和国动物防疫法》第九十八条第二项：</w:t>
            </w:r>
            <w:r>
              <w:rPr>
                <w:color w:val="000000"/>
                <w:kern w:val="0"/>
                <w:sz w:val="24"/>
              </w:rPr>
              <w:t>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tc>
        <w:tc>
          <w:tcPr>
            <w:tcW w:w="2508" w:type="dxa"/>
            <w:noWrap w:val="0"/>
            <w:vAlign w:val="center"/>
          </w:tcPr>
          <w:p>
            <w:pPr>
              <w:pStyle w:val="3"/>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10" w:type="dxa"/>
            <w:noWrap w:val="0"/>
            <w:vAlign w:val="center"/>
          </w:tcPr>
          <w:p>
            <w:pPr>
              <w:pStyle w:val="3"/>
              <w:snapToGrid w:val="0"/>
              <w:spacing w:line="2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w:t>
            </w:r>
          </w:p>
        </w:tc>
        <w:tc>
          <w:tcPr>
            <w:tcW w:w="3045" w:type="dxa"/>
            <w:noWrap w:val="0"/>
            <w:vAlign w:val="center"/>
          </w:tcPr>
          <w:p>
            <w:pPr>
              <w:widowControl/>
              <w:spacing w:line="280" w:lineRule="exact"/>
              <w:ind w:firstLine="0" w:firstLineChars="0"/>
              <w:textAlignment w:val="center"/>
              <w:rPr>
                <w:color w:val="000000"/>
                <w:sz w:val="24"/>
              </w:rPr>
            </w:pPr>
            <w:r>
              <w:rPr>
                <w:color w:val="000000"/>
                <w:kern w:val="0"/>
                <w:sz w:val="24"/>
              </w:rPr>
              <w:t>种子生产经营者在异地设立分支机构、专门经营不再分装的包装种子或者受委托生产、代销种子，未按规定备案</w:t>
            </w:r>
          </w:p>
        </w:tc>
        <w:tc>
          <w:tcPr>
            <w:tcW w:w="7815" w:type="dxa"/>
            <w:noWrap w:val="0"/>
            <w:vAlign w:val="center"/>
          </w:tcPr>
          <w:p>
            <w:pPr>
              <w:widowControl/>
              <w:spacing w:line="280" w:lineRule="exact"/>
              <w:ind w:firstLine="0" w:firstLineChars="0"/>
              <w:jc w:val="left"/>
              <w:textAlignment w:val="center"/>
              <w:rPr>
                <w:color w:val="000000"/>
                <w:sz w:val="24"/>
              </w:rPr>
            </w:pPr>
            <w:r>
              <w:rPr>
                <w:b/>
                <w:bCs/>
                <w:color w:val="000000"/>
                <w:kern w:val="0"/>
                <w:sz w:val="24"/>
              </w:rPr>
              <w:t>《中华人民共和国种子法》第三十八条第一款：</w:t>
            </w:r>
            <w:r>
              <w:rPr>
                <w:color w:val="000000"/>
                <w:kern w:val="0"/>
                <w:sz w:val="24"/>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r>
              <w:rPr>
                <w:b/>
                <w:bCs/>
                <w:color w:val="000000"/>
                <w:kern w:val="0"/>
                <w:sz w:val="24"/>
              </w:rPr>
              <w:t>第七十九条第五项：</w:t>
            </w:r>
            <w:r>
              <w:rPr>
                <w:color w:val="000000"/>
                <w:kern w:val="0"/>
                <w:sz w:val="24"/>
              </w:rPr>
              <w:t>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tc>
        <w:tc>
          <w:tcPr>
            <w:tcW w:w="2508" w:type="dxa"/>
            <w:noWrap w:val="0"/>
            <w:vAlign w:val="center"/>
          </w:tcPr>
          <w:p>
            <w:pPr>
              <w:pStyle w:val="3"/>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r>
              <w:rPr>
                <w:rFonts w:ascii="Times New Roman" w:hAnsi="Times New Roman" w:eastAsia="仿宋_GB2312" w:cs="Times New Roman"/>
                <w:color w:val="000000"/>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10" w:type="dxa"/>
            <w:noWrap w:val="0"/>
            <w:vAlign w:val="center"/>
          </w:tcPr>
          <w:p>
            <w:pPr>
              <w:pStyle w:val="3"/>
              <w:snapToGrid w:val="0"/>
              <w:spacing w:line="2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p>
        </w:tc>
        <w:tc>
          <w:tcPr>
            <w:tcW w:w="3045" w:type="dxa"/>
            <w:noWrap w:val="0"/>
            <w:vAlign w:val="center"/>
          </w:tcPr>
          <w:p>
            <w:pPr>
              <w:pStyle w:val="3"/>
              <w:snapToGrid w:val="0"/>
              <w:spacing w:line="28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农业投入品使用者未按照规定及时回收肥料等农业投入品的包装废弃物或者农用薄膜，或者未按照规定及时回收农药包装废弃物交由专门的机构或者组织进行无害化处理</w:t>
            </w:r>
          </w:p>
        </w:tc>
        <w:tc>
          <w:tcPr>
            <w:tcW w:w="7815" w:type="dxa"/>
            <w:noWrap w:val="0"/>
            <w:vAlign w:val="center"/>
          </w:tcPr>
          <w:p>
            <w:pPr>
              <w:pStyle w:val="6"/>
              <w:widowControl/>
              <w:snapToGrid w:val="0"/>
              <w:spacing w:beforeAutospacing="0" w:afterAutospacing="0" w:line="280" w:lineRule="exact"/>
              <w:jc w:val="both"/>
              <w:textAlignment w:val="center"/>
              <w:rPr>
                <w:rFonts w:ascii="Times New Roman" w:hAnsi="Times New Roman" w:eastAsia="仿宋_GB2312"/>
                <w:color w:val="000000"/>
              </w:rPr>
            </w:pPr>
            <w:r>
              <w:rPr>
                <w:rStyle w:val="9"/>
                <w:rFonts w:ascii="Times New Roman" w:hAnsi="Times New Roman" w:eastAsia="仿宋_GB2312"/>
                <w:color w:val="000000"/>
              </w:rPr>
              <w:t>《中华人民共和国土壤污染防治法》第八十八条</w:t>
            </w:r>
            <w:r>
              <w:rPr>
                <w:rFonts w:ascii="Times New Roman" w:hAnsi="Times New Roman" w:eastAsia="仿宋_GB2312"/>
                <w:b/>
                <w:bCs/>
                <w:color w:val="000000"/>
              </w:rPr>
              <w:t>：</w:t>
            </w:r>
            <w:r>
              <w:rPr>
                <w:rFonts w:ascii="Times New Roman" w:hAnsi="Times New Roman" w:eastAsia="仿宋_GB2312"/>
                <w:color w:val="000000"/>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pStyle w:val="6"/>
              <w:widowControl/>
              <w:snapToGrid w:val="0"/>
              <w:spacing w:beforeAutospacing="0" w:afterAutospacing="0" w:line="280" w:lineRule="exact"/>
              <w:jc w:val="both"/>
              <w:textAlignment w:val="center"/>
              <w:rPr>
                <w:rFonts w:ascii="Times New Roman" w:hAnsi="Times New Roman" w:eastAsia="仿宋_GB2312"/>
                <w:color w:val="000000"/>
              </w:rPr>
            </w:pPr>
            <w:r>
              <w:rPr>
                <w:rStyle w:val="9"/>
                <w:rFonts w:ascii="Times New Roman" w:hAnsi="Times New Roman" w:eastAsia="仿宋_GB2312"/>
                <w:color w:val="000000"/>
              </w:rPr>
              <w:t>《农用薄膜管理办法》第二十四条</w:t>
            </w:r>
            <w:r>
              <w:rPr>
                <w:rFonts w:ascii="Times New Roman" w:hAnsi="Times New Roman" w:eastAsia="仿宋_GB2312"/>
                <w:b/>
                <w:bCs/>
                <w:color w:val="000000"/>
              </w:rPr>
              <w:t>：</w:t>
            </w:r>
            <w:r>
              <w:rPr>
                <w:rFonts w:ascii="Times New Roman" w:hAnsi="Times New Roman" w:eastAsia="仿宋_GB2312"/>
                <w:color w:val="000000"/>
              </w:rPr>
              <w:t>农用薄膜生产者、销售者、使用者未按照规定回收农用薄膜的，依照《中华人民共和国土壤污染防治法》第八十八条规定处罚。</w:t>
            </w:r>
          </w:p>
          <w:p>
            <w:pPr>
              <w:pStyle w:val="6"/>
              <w:widowControl/>
              <w:snapToGrid w:val="0"/>
              <w:spacing w:beforeAutospacing="0" w:afterAutospacing="0" w:line="280" w:lineRule="exact"/>
              <w:jc w:val="both"/>
              <w:textAlignment w:val="center"/>
              <w:rPr>
                <w:rFonts w:ascii="Times New Roman" w:hAnsi="Times New Roman" w:eastAsia="仿宋_GB2312"/>
                <w:b/>
                <w:bCs/>
                <w:color w:val="000000"/>
              </w:rPr>
            </w:pPr>
            <w:r>
              <w:rPr>
                <w:rStyle w:val="9"/>
                <w:rFonts w:ascii="Times New Roman" w:hAnsi="Times New Roman" w:eastAsia="仿宋_GB2312"/>
                <w:color w:val="000000"/>
              </w:rPr>
              <w:t>《农药包装废弃物回收处理管理办法》第十九条</w:t>
            </w:r>
            <w:r>
              <w:rPr>
                <w:rFonts w:ascii="Times New Roman" w:hAnsi="Times New Roman" w:eastAsia="仿宋_GB2312"/>
                <w:b/>
                <w:bCs/>
                <w:color w:val="000000"/>
              </w:rPr>
              <w:t>：</w:t>
            </w:r>
            <w:r>
              <w:rPr>
                <w:rFonts w:ascii="Times New Roman" w:hAnsi="Times New Roman" w:eastAsia="仿宋_GB2312"/>
                <w:color w:val="000000"/>
              </w:rPr>
              <w:t>农药生产者、经营者、使用者未按规定履行农药包装废弃物回收处理义务的，由地方人民政府农业农村主管部门按照《中华人民共和国土壤污染防治法》第八十八条规定予以处罚。</w:t>
            </w:r>
          </w:p>
        </w:tc>
        <w:tc>
          <w:tcPr>
            <w:tcW w:w="2508" w:type="dxa"/>
            <w:noWrap w:val="0"/>
            <w:vAlign w:val="center"/>
          </w:tcPr>
          <w:p>
            <w:pPr>
              <w:pStyle w:val="3"/>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spacing w:line="280" w:lineRule="exact"/>
              <w:ind w:firstLine="0" w:firstLineChars="0"/>
              <w:jc w:val="left"/>
              <w:textAlignment w:val="center"/>
              <w:rPr>
                <w:color w:val="000000"/>
                <w:sz w:val="24"/>
              </w:rPr>
            </w:pPr>
            <w:r>
              <w:rPr>
                <w:color w:val="000000"/>
                <w:sz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53" w:hRule="atLeast"/>
          <w:jc w:val="center"/>
        </w:trPr>
        <w:tc>
          <w:tcPr>
            <w:tcW w:w="810" w:type="dxa"/>
            <w:noWrap w:val="0"/>
            <w:vAlign w:val="center"/>
          </w:tcPr>
          <w:p>
            <w:pPr>
              <w:pStyle w:val="3"/>
              <w:snapToGrid w:val="0"/>
              <w:spacing w:line="30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w:t>
            </w:r>
          </w:p>
        </w:tc>
        <w:tc>
          <w:tcPr>
            <w:tcW w:w="3045" w:type="dxa"/>
            <w:noWrap w:val="0"/>
            <w:vAlign w:val="center"/>
          </w:tcPr>
          <w:p>
            <w:pPr>
              <w:pStyle w:val="3"/>
              <w:snapToGrid w:val="0"/>
              <w:spacing w:line="30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农药经营者不执行农药采购台账、销售台账制度</w:t>
            </w:r>
          </w:p>
        </w:tc>
        <w:tc>
          <w:tcPr>
            <w:tcW w:w="7815" w:type="dxa"/>
            <w:noWrap w:val="0"/>
            <w:vAlign w:val="center"/>
          </w:tcPr>
          <w:p>
            <w:pPr>
              <w:pStyle w:val="3"/>
              <w:snapToGrid w:val="0"/>
              <w:spacing w:line="30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《农药管理条例》第五十八条第一项</w:t>
            </w:r>
            <w:r>
              <w:rPr>
                <w:rFonts w:ascii="Times New Roman" w:hAnsi="Times New Roman" w:eastAsia="仿宋_GB2312" w:cs="Times New Roman"/>
                <w:color w:val="000000"/>
                <w:sz w:val="24"/>
                <w:szCs w:val="24"/>
              </w:rPr>
              <w:t>：农药经营者有下列行为之一的，由县级以上地方人民政府农业主管部</w:t>
            </w:r>
            <w:r>
              <w:rPr>
                <w:rFonts w:ascii="Times New Roman" w:hAnsi="Times New Roman" w:eastAsia="仿宋_GB2312" w:cs="Times New Roman"/>
                <w:color w:val="000000"/>
                <w:kern w:val="0"/>
                <w:sz w:val="24"/>
                <w:szCs w:val="24"/>
              </w:rPr>
              <w:t>门责令改正；拒不</w:t>
            </w:r>
            <w:r>
              <w:rPr>
                <w:rFonts w:ascii="Times New Roman" w:hAnsi="Times New Roman" w:eastAsia="仿宋_GB2312" w:cs="Times New Roman"/>
                <w:color w:val="000000"/>
                <w:sz w:val="24"/>
                <w:szCs w:val="24"/>
              </w:rPr>
              <w:t>改正或者情节严重的，处2000元以上2万元以下罚款，并由发证机关吊销农药经营许可证：（一）不执行农药采购台账、销售台账制度。</w:t>
            </w:r>
          </w:p>
        </w:tc>
        <w:tc>
          <w:tcPr>
            <w:tcW w:w="2508" w:type="dxa"/>
            <w:noWrap w:val="0"/>
            <w:vAlign w:val="center"/>
          </w:tcPr>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0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2.</w:t>
            </w:r>
            <w:r>
              <w:rPr>
                <w:rFonts w:ascii="Times New Roman" w:hAnsi="Times New Roman" w:eastAsia="仿宋_GB2312" w:cs="Times New Roman"/>
                <w:color w:val="000000"/>
                <w:kern w:val="0"/>
                <w:sz w:val="24"/>
                <w:szCs w:val="24"/>
              </w:rPr>
              <w:t>危害后果轻微；</w:t>
            </w:r>
          </w:p>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22" w:hRule="atLeast"/>
          <w:jc w:val="center"/>
        </w:trPr>
        <w:tc>
          <w:tcPr>
            <w:tcW w:w="810" w:type="dxa"/>
            <w:noWrap w:val="0"/>
            <w:vAlign w:val="center"/>
          </w:tcPr>
          <w:p>
            <w:pPr>
              <w:pStyle w:val="3"/>
              <w:snapToGrid w:val="0"/>
              <w:spacing w:line="30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w:t>
            </w:r>
          </w:p>
        </w:tc>
        <w:tc>
          <w:tcPr>
            <w:tcW w:w="3045" w:type="dxa"/>
            <w:noWrap w:val="0"/>
            <w:vAlign w:val="center"/>
          </w:tcPr>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农产品生产企业、食品和食用农产品</w:t>
            </w:r>
            <w:r>
              <w:rPr>
                <w:rFonts w:ascii="Times New Roman" w:hAnsi="Times New Roman" w:eastAsia="仿宋_GB2312" w:cs="Times New Roman"/>
                <w:color w:val="000000"/>
                <w:spacing w:val="-6"/>
                <w:kern w:val="0"/>
                <w:sz w:val="24"/>
                <w:szCs w:val="24"/>
              </w:rPr>
              <w:t>仓储企业、专业化病虫害防治服务组织和从事农产品生产的农民专业合作社等不执行农药使用记录制度</w:t>
            </w:r>
          </w:p>
        </w:tc>
        <w:tc>
          <w:tcPr>
            <w:tcW w:w="7815" w:type="dxa"/>
            <w:noWrap w:val="0"/>
            <w:vAlign w:val="center"/>
          </w:tcPr>
          <w:p>
            <w:pPr>
              <w:pStyle w:val="3"/>
              <w:snapToGrid w:val="0"/>
              <w:spacing w:line="30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《农药管理条例》第六十一条：</w:t>
            </w:r>
            <w:r>
              <w:rPr>
                <w:rFonts w:ascii="Times New Roman" w:hAnsi="Times New Roman" w:eastAsia="仿宋_GB2312" w:cs="Times New Roman"/>
                <w:color w:val="000000"/>
                <w:sz w:val="24"/>
                <w:szCs w:val="24"/>
              </w:rPr>
              <w:t>农产品生产企业、食品和食用农产品仓储企业、专业化病虫害防治服务组织和从事农产品生产的农民专业合作社等不执行农药使用记录制度的，由县级人民政府农业主管部</w:t>
            </w:r>
            <w:r>
              <w:rPr>
                <w:rFonts w:ascii="Times New Roman" w:hAnsi="Times New Roman" w:eastAsia="仿宋_GB2312" w:cs="Times New Roman"/>
                <w:color w:val="000000"/>
                <w:kern w:val="0"/>
                <w:sz w:val="24"/>
                <w:szCs w:val="24"/>
              </w:rPr>
              <w:t>门责令改正</w:t>
            </w:r>
            <w:r>
              <w:rPr>
                <w:rFonts w:ascii="Times New Roman" w:hAnsi="Times New Roman" w:eastAsia="仿宋_GB2312" w:cs="Times New Roman"/>
                <w:color w:val="000000"/>
                <w:sz w:val="24"/>
                <w:szCs w:val="24"/>
              </w:rPr>
              <w:t>；拒不改正或者情节严重的，处2000元以上2万元以下罚款。</w:t>
            </w:r>
          </w:p>
        </w:tc>
        <w:tc>
          <w:tcPr>
            <w:tcW w:w="2508" w:type="dxa"/>
            <w:noWrap w:val="0"/>
            <w:vAlign w:val="center"/>
          </w:tcPr>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0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2.危害</w:t>
            </w:r>
            <w:r>
              <w:rPr>
                <w:rFonts w:ascii="Times New Roman" w:hAnsi="Times New Roman" w:eastAsia="仿宋_GB2312" w:cs="Times New Roman"/>
                <w:color w:val="000000"/>
                <w:kern w:val="0"/>
                <w:sz w:val="24"/>
                <w:szCs w:val="24"/>
              </w:rPr>
              <w:t>后果轻微；</w:t>
            </w:r>
          </w:p>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08" w:hRule="atLeast"/>
          <w:jc w:val="center"/>
        </w:trPr>
        <w:tc>
          <w:tcPr>
            <w:tcW w:w="810" w:type="dxa"/>
            <w:noWrap w:val="0"/>
            <w:vAlign w:val="center"/>
          </w:tcPr>
          <w:p>
            <w:pPr>
              <w:pStyle w:val="3"/>
              <w:snapToGrid w:val="0"/>
              <w:spacing w:line="30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w:t>
            </w:r>
          </w:p>
        </w:tc>
        <w:tc>
          <w:tcPr>
            <w:tcW w:w="3045" w:type="dxa"/>
            <w:noWrap w:val="0"/>
            <w:vAlign w:val="center"/>
          </w:tcPr>
          <w:p>
            <w:pPr>
              <w:widowControl/>
              <w:spacing w:line="300" w:lineRule="exact"/>
              <w:ind w:firstLine="0" w:firstLineChars="0"/>
              <w:textAlignment w:val="center"/>
              <w:rPr>
                <w:color w:val="000000"/>
                <w:sz w:val="24"/>
              </w:rPr>
            </w:pPr>
            <w:r>
              <w:rPr>
                <w:color w:val="000000"/>
                <w:kern w:val="0"/>
                <w:sz w:val="24"/>
              </w:rPr>
              <w:t>宠物诊疗机构、动物园、非食品动物养殖单位、科研机构将人用药品用于非食品动物</w:t>
            </w:r>
          </w:p>
        </w:tc>
        <w:tc>
          <w:tcPr>
            <w:tcW w:w="7815" w:type="dxa"/>
            <w:noWrap w:val="0"/>
            <w:vAlign w:val="center"/>
          </w:tcPr>
          <w:p>
            <w:pPr>
              <w:widowControl/>
              <w:spacing w:line="300" w:lineRule="exact"/>
              <w:ind w:firstLine="0" w:firstLineChars="0"/>
              <w:jc w:val="left"/>
              <w:textAlignment w:val="center"/>
              <w:rPr>
                <w:color w:val="000000"/>
                <w:sz w:val="24"/>
              </w:rPr>
            </w:pPr>
            <w:r>
              <w:rPr>
                <w:b/>
                <w:bCs/>
                <w:color w:val="000000"/>
                <w:kern w:val="0"/>
                <w:sz w:val="24"/>
              </w:rPr>
              <w:t>《兽药管理条例》第六十二条：</w:t>
            </w:r>
            <w:r>
              <w:rPr>
                <w:color w:val="000000"/>
                <w:kern w:val="0"/>
                <w:sz w:val="24"/>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2508" w:type="dxa"/>
            <w:noWrap w:val="0"/>
            <w:vAlign w:val="center"/>
          </w:tcPr>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53" w:hRule="atLeast"/>
          <w:jc w:val="center"/>
        </w:trPr>
        <w:tc>
          <w:tcPr>
            <w:tcW w:w="810" w:type="dxa"/>
            <w:noWrap w:val="0"/>
            <w:vAlign w:val="center"/>
          </w:tcPr>
          <w:p>
            <w:pPr>
              <w:pStyle w:val="3"/>
              <w:snapToGrid w:val="0"/>
              <w:spacing w:line="30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w:t>
            </w:r>
          </w:p>
        </w:tc>
        <w:tc>
          <w:tcPr>
            <w:tcW w:w="3045" w:type="dxa"/>
            <w:noWrap w:val="0"/>
            <w:vAlign w:val="center"/>
          </w:tcPr>
          <w:p>
            <w:pPr>
              <w:pStyle w:val="3"/>
              <w:snapToGrid w:val="0"/>
              <w:spacing w:line="30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饲料、饲料添加剂生产企业销售的饲料、饲料添加剂包装、标签不符合规定</w:t>
            </w:r>
          </w:p>
        </w:tc>
        <w:tc>
          <w:tcPr>
            <w:tcW w:w="7815" w:type="dxa"/>
            <w:noWrap w:val="0"/>
            <w:vAlign w:val="center"/>
          </w:tcPr>
          <w:p>
            <w:pPr>
              <w:pStyle w:val="3"/>
              <w:snapToGrid w:val="0"/>
              <w:spacing w:line="300" w:lineRule="exact"/>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color w:val="000000"/>
                <w:sz w:val="24"/>
                <w:szCs w:val="24"/>
              </w:rPr>
              <w:t>《</w:t>
            </w:r>
            <w:r>
              <w:rPr>
                <w:rFonts w:ascii="Times New Roman" w:hAnsi="Times New Roman" w:eastAsia="仿宋_GB2312" w:cs="Times New Roman"/>
                <w:b/>
                <w:bCs/>
                <w:color w:val="000000"/>
                <w:sz w:val="24"/>
                <w:szCs w:val="24"/>
              </w:rPr>
              <w:t>饲料和饲料添加剂管理条例》第四十一条第二款:</w:t>
            </w:r>
            <w:r>
              <w:rPr>
                <w:rFonts w:ascii="Times New Roman" w:hAnsi="Times New Roman" w:eastAsia="仿宋_GB2312" w:cs="Times New Roman"/>
                <w:color w:val="000000"/>
                <w:sz w:val="24"/>
                <w:szCs w:val="24"/>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2508" w:type="dxa"/>
            <w:noWrap w:val="0"/>
            <w:vAlign w:val="center"/>
          </w:tcPr>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45" w:hRule="atLeast"/>
          <w:jc w:val="center"/>
        </w:trPr>
        <w:tc>
          <w:tcPr>
            <w:tcW w:w="810" w:type="dxa"/>
            <w:noWrap w:val="0"/>
            <w:vAlign w:val="center"/>
          </w:tcPr>
          <w:p>
            <w:pPr>
              <w:pStyle w:val="6"/>
              <w:widowControl/>
              <w:snapToGrid w:val="0"/>
              <w:spacing w:beforeAutospacing="0" w:afterAutospacing="0" w:line="300" w:lineRule="exact"/>
              <w:jc w:val="center"/>
              <w:textAlignment w:val="center"/>
              <w:rPr>
                <w:rFonts w:ascii="Times New Roman" w:hAnsi="Times New Roman" w:eastAsia="仿宋_GB2312"/>
                <w:color w:val="000000"/>
              </w:rPr>
            </w:pPr>
            <w:r>
              <w:rPr>
                <w:rFonts w:ascii="Times New Roman" w:hAnsi="Times New Roman" w:eastAsia="仿宋_GB2312"/>
                <w:color w:val="000000"/>
              </w:rPr>
              <w:t>11</w:t>
            </w:r>
          </w:p>
        </w:tc>
        <w:tc>
          <w:tcPr>
            <w:tcW w:w="3045" w:type="dxa"/>
            <w:noWrap w:val="0"/>
            <w:vAlign w:val="center"/>
          </w:tcPr>
          <w:p>
            <w:pPr>
              <w:pStyle w:val="6"/>
              <w:widowControl/>
              <w:snapToGrid w:val="0"/>
              <w:spacing w:beforeAutospacing="0" w:afterAutospacing="0" w:line="300" w:lineRule="exact"/>
              <w:jc w:val="both"/>
              <w:textAlignment w:val="center"/>
              <w:rPr>
                <w:rFonts w:ascii="Times New Roman" w:hAnsi="Times New Roman" w:eastAsia="仿宋_GB2312"/>
                <w:color w:val="000000"/>
              </w:rPr>
            </w:pPr>
            <w:r>
              <w:rPr>
                <w:rFonts w:ascii="Times New Roman" w:hAnsi="Times New Roman" w:eastAsia="仿宋_GB2312"/>
                <w:color w:val="000000"/>
              </w:rPr>
              <w:t>侵占、损毁、拆除、擅自移动农作物病虫害监测设施设备或者以其他方式妨害农作物病虫害监测设施设备正常运行</w:t>
            </w:r>
          </w:p>
        </w:tc>
        <w:tc>
          <w:tcPr>
            <w:tcW w:w="7815" w:type="dxa"/>
            <w:noWrap w:val="0"/>
            <w:vAlign w:val="center"/>
          </w:tcPr>
          <w:p>
            <w:pPr>
              <w:pStyle w:val="6"/>
              <w:widowControl/>
              <w:snapToGrid w:val="0"/>
              <w:spacing w:beforeAutospacing="0" w:afterAutospacing="0" w:line="300" w:lineRule="exact"/>
              <w:jc w:val="both"/>
              <w:textAlignment w:val="center"/>
              <w:rPr>
                <w:rFonts w:ascii="Times New Roman" w:hAnsi="Times New Roman" w:eastAsia="仿宋_GB2312"/>
                <w:color w:val="000000"/>
              </w:rPr>
            </w:pPr>
            <w:r>
              <w:rPr>
                <w:rFonts w:ascii="Times New Roman" w:hAnsi="Times New Roman" w:eastAsia="仿宋_GB2312"/>
                <w:b/>
                <w:bCs/>
                <w:color w:val="000000"/>
              </w:rPr>
              <w:t>《农作物病虫害防治条例》第四十条：</w:t>
            </w:r>
            <w:r>
              <w:rPr>
                <w:rFonts w:ascii="Times New Roman" w:hAnsi="Times New Roman" w:eastAsia="仿宋_GB2312"/>
                <w:color w:val="000000"/>
              </w:rPr>
              <w:t>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2508" w:type="dxa"/>
            <w:noWrap w:val="0"/>
            <w:vAlign w:val="center"/>
          </w:tcPr>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6"/>
              <w:widowControl/>
              <w:snapToGrid w:val="0"/>
              <w:spacing w:beforeAutospacing="0" w:afterAutospacing="0" w:line="300" w:lineRule="exact"/>
              <w:textAlignment w:val="center"/>
              <w:rPr>
                <w:rFonts w:ascii="Times New Roman" w:hAnsi="Times New Roman" w:eastAsia="仿宋_GB2312"/>
                <w:color w:val="000000"/>
              </w:rPr>
            </w:pPr>
            <w:r>
              <w:rPr>
                <w:rFonts w:ascii="Times New Roman" w:hAnsi="Times New Roman" w:eastAsia="仿宋_GB2312"/>
                <w:color w:val="000000"/>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47"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p>
        </w:tc>
        <w:tc>
          <w:tcPr>
            <w:tcW w:w="304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开展农作物病虫害预防控制航空作业未按照国家有关规定进行公告</w:t>
            </w:r>
          </w:p>
        </w:tc>
        <w:tc>
          <w:tcPr>
            <w:tcW w:w="7815" w:type="dxa"/>
            <w:noWrap w:val="0"/>
            <w:vAlign w:val="center"/>
          </w:tcPr>
          <w:p>
            <w:pPr>
              <w:spacing w:line="320" w:lineRule="exact"/>
              <w:ind w:firstLine="0" w:firstLineChars="0"/>
              <w:textAlignment w:val="center"/>
              <w:rPr>
                <w:color w:val="000000"/>
                <w:sz w:val="24"/>
              </w:rPr>
            </w:pPr>
            <w:r>
              <w:rPr>
                <w:b/>
                <w:bCs/>
                <w:color w:val="000000"/>
                <w:sz w:val="24"/>
              </w:rPr>
              <w:t>《农作物病虫害防治条例》第四十一条第三项：</w:t>
            </w:r>
            <w:r>
              <w:rPr>
                <w:color w:val="000000"/>
                <w:sz w:val="24"/>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pStyle w:val="3"/>
              <w:snapToGrid w:val="0"/>
              <w:spacing w:line="320" w:lineRule="exact"/>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color w:val="000000"/>
                <w:sz w:val="24"/>
                <w:szCs w:val="24"/>
              </w:rPr>
              <w:t>（三）开展农作物病虫害预防控制航空作业未按照国家有关规定进行公告。</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4"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w:t>
            </w:r>
          </w:p>
        </w:tc>
        <w:tc>
          <w:tcPr>
            <w:tcW w:w="304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销售授权品种未使用其注册登记的名称</w:t>
            </w:r>
          </w:p>
        </w:tc>
        <w:tc>
          <w:tcPr>
            <w:tcW w:w="7815" w:type="dxa"/>
            <w:noWrap w:val="0"/>
            <w:vAlign w:val="center"/>
          </w:tcPr>
          <w:p>
            <w:pPr>
              <w:spacing w:line="320" w:lineRule="exact"/>
              <w:ind w:firstLine="0" w:firstLineChars="0"/>
              <w:textAlignment w:val="center"/>
              <w:rPr>
                <w:b/>
                <w:bCs/>
                <w:color w:val="000000"/>
                <w:sz w:val="24"/>
              </w:rPr>
            </w:pPr>
            <w:r>
              <w:rPr>
                <w:b/>
                <w:bCs/>
                <w:color w:val="000000"/>
                <w:sz w:val="24"/>
              </w:rPr>
              <w:t>《中华人民共和国植物新品种保护条例》第四十二条：</w:t>
            </w:r>
            <w:r>
              <w:rPr>
                <w:color w:val="000000"/>
                <w:sz w:val="24"/>
              </w:rPr>
              <w:t>销售授权品种未使用其注册登记的名称的，由县级以上人民政府农业、林业行政部门依据各自</w:t>
            </w:r>
            <w:r>
              <w:rPr>
                <w:color w:val="000000"/>
                <w:kern w:val="0"/>
                <w:sz w:val="24"/>
              </w:rPr>
              <w:t>的职权责令限期改正，可以处1000元以下的</w:t>
            </w:r>
            <w:r>
              <w:rPr>
                <w:color w:val="000000"/>
                <w:sz w:val="24"/>
              </w:rPr>
              <w:t>罚款。</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2.危害后果轻微；</w:t>
            </w:r>
          </w:p>
          <w:p>
            <w:pPr>
              <w:pStyle w:val="3"/>
              <w:snapToGrid w:val="0"/>
              <w:spacing w:line="32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40"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p>
        </w:tc>
        <w:tc>
          <w:tcPr>
            <w:tcW w:w="3045"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破坏、擅自变动耕地质量监测点基础设施、永久性标志</w:t>
            </w:r>
          </w:p>
        </w:tc>
        <w:tc>
          <w:tcPr>
            <w:tcW w:w="7815" w:type="dxa"/>
            <w:noWrap w:val="0"/>
            <w:vAlign w:val="center"/>
          </w:tcPr>
          <w:p>
            <w:pPr>
              <w:spacing w:line="320" w:lineRule="exact"/>
              <w:ind w:firstLine="0" w:firstLineChars="0"/>
              <w:textAlignment w:val="center"/>
              <w:rPr>
                <w:color w:val="000000"/>
                <w:sz w:val="24"/>
              </w:rPr>
            </w:pPr>
            <w:r>
              <w:rPr>
                <w:b/>
                <w:bCs/>
                <w:color w:val="000000"/>
                <w:sz w:val="24"/>
              </w:rPr>
              <w:t>《湖南省耕地质量管理条例》第二十七条第二款：</w:t>
            </w:r>
            <w:r>
              <w:rPr>
                <w:color w:val="000000"/>
                <w:sz w:val="24"/>
              </w:rPr>
              <w:t>任何单位或者个人不得破坏、擅自变动耕地质量监测点基础设施、永久性标志。确实需要对监测点基础设施、永久性标志移位的，应当征得批准设立监测点的农业行政主管部门的同意，并承担所需费用。</w:t>
            </w:r>
          </w:p>
          <w:p>
            <w:pPr>
              <w:widowControl/>
              <w:spacing w:line="320" w:lineRule="exact"/>
              <w:ind w:firstLine="0" w:firstLineChars="0"/>
              <w:textAlignment w:val="center"/>
              <w:rPr>
                <w:b/>
                <w:bCs/>
                <w:color w:val="000000"/>
                <w:sz w:val="24"/>
              </w:rPr>
            </w:pPr>
            <w:r>
              <w:rPr>
                <w:b/>
                <w:bCs/>
                <w:color w:val="000000"/>
                <w:sz w:val="24"/>
              </w:rPr>
              <w:t>第三十二条：</w:t>
            </w:r>
            <w:r>
              <w:rPr>
                <w:color w:val="000000"/>
                <w:sz w:val="24"/>
              </w:rPr>
              <w:t>违反本条例第二十七条第二款规定的，由县级以上人民政府农业行政主管部门责令恢复原状，可以处一千元以下的罚款；造成损失的，依法承担赔偿责任。</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44"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p>
        </w:tc>
        <w:tc>
          <w:tcPr>
            <w:tcW w:w="304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未按照规定制作和保存生产经营外来物种档案</w:t>
            </w:r>
          </w:p>
        </w:tc>
        <w:tc>
          <w:tcPr>
            <w:tcW w:w="781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《湖南省外来物种管理条例》第三十二条第二项：</w:t>
            </w:r>
            <w:r>
              <w:rPr>
                <w:rFonts w:ascii="Times New Roman" w:hAnsi="Times New Roman" w:eastAsia="仿宋_GB2312" w:cs="Times New Roman"/>
                <w:color w:val="000000"/>
                <w:sz w:val="24"/>
                <w:szCs w:val="24"/>
              </w:rPr>
              <w:t>违反本条例规定，有下列行为之一的，由县级以上人民政府农业、林业或者卫生行政主管部门按照各自职权责令改正，可以处二千元以上一万元以下的罚款：（二）未按照规定制作和保存生产经营外来物种档案的。</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81"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16</w:t>
            </w:r>
          </w:p>
        </w:tc>
        <w:tc>
          <w:tcPr>
            <w:tcW w:w="304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擅自发布农业有害生物预报、警报、农业生物灾害信息</w:t>
            </w:r>
          </w:p>
        </w:tc>
        <w:tc>
          <w:tcPr>
            <w:tcW w:w="7815" w:type="dxa"/>
            <w:noWrap w:val="0"/>
            <w:vAlign w:val="center"/>
          </w:tcPr>
          <w:p>
            <w:pPr>
              <w:widowControl/>
              <w:spacing w:line="320" w:lineRule="exact"/>
              <w:ind w:firstLine="0" w:firstLineChars="0"/>
              <w:textAlignment w:val="center"/>
              <w:rPr>
                <w:color w:val="000000"/>
                <w:sz w:val="24"/>
              </w:rPr>
            </w:pPr>
            <w:r>
              <w:rPr>
                <w:b/>
                <w:bCs/>
                <w:color w:val="000000"/>
                <w:sz w:val="24"/>
              </w:rPr>
              <w:t>《湖南省植物保护条例》第十条</w:t>
            </w:r>
            <w:r>
              <w:rPr>
                <w:color w:val="000000"/>
                <w:sz w:val="24"/>
              </w:rPr>
              <w:t>:农业有害生物预报、警报由植物保护机构负责发布；农业生物灾害信息由县级以上人民政府农业农村主管部门负责发布。其他任何单位和个人不得擅自向社会发布农业有害生物预报、警报或者农业生物灾害信息。</w:t>
            </w:r>
            <w:r>
              <w:rPr>
                <w:b/>
                <w:bCs/>
                <w:color w:val="000000"/>
                <w:sz w:val="24"/>
              </w:rPr>
              <w:t>第三十条：</w:t>
            </w:r>
            <w:r>
              <w:rPr>
                <w:color w:val="000000"/>
                <w:sz w:val="24"/>
              </w:rPr>
              <w:t>违反本条例第十条规定，擅自发布农业有害生物预报、警报、农业生物灾害信息的，由县级以上人民政府农业农村主管部门责令停止违法行为，处五千元以上五万元以下罚款；情节严重的，处五万元以上十万元以下罚款；造成损失的，依法承担赔偿责任。</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68"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17</w:t>
            </w:r>
          </w:p>
        </w:tc>
        <w:tc>
          <w:tcPr>
            <w:tcW w:w="304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擅自移动、损毁禁止农产品生产区标牌</w:t>
            </w:r>
          </w:p>
        </w:tc>
        <w:tc>
          <w:tcPr>
            <w:tcW w:w="7815" w:type="dxa"/>
            <w:noWrap w:val="0"/>
            <w:vAlign w:val="center"/>
          </w:tcPr>
          <w:p>
            <w:pPr>
              <w:pStyle w:val="6"/>
              <w:widowControl/>
              <w:snapToGrid w:val="0"/>
              <w:spacing w:beforeAutospacing="0" w:afterAutospacing="0" w:line="320" w:lineRule="exact"/>
              <w:jc w:val="both"/>
              <w:textAlignment w:val="center"/>
              <w:rPr>
                <w:rFonts w:ascii="Times New Roman" w:hAnsi="Times New Roman" w:eastAsia="仿宋_GB2312"/>
                <w:strike/>
                <w:color w:val="000000"/>
              </w:rPr>
            </w:pPr>
            <w:r>
              <w:rPr>
                <w:rStyle w:val="9"/>
                <w:rFonts w:ascii="Times New Roman" w:hAnsi="Times New Roman" w:eastAsia="仿宋_GB2312"/>
                <w:color w:val="000000"/>
              </w:rPr>
              <w:t>《农产品产地安全管理办法》第二十六条:</w:t>
            </w:r>
            <w:r>
              <w:rPr>
                <w:rFonts w:ascii="Times New Roman" w:hAnsi="Times New Roman" w:eastAsia="仿宋_GB2312"/>
                <w:color w:val="000000"/>
              </w:rPr>
              <w:t>违反《中华人民共和国农产品质量安全法》和本办法规定的划定标准和程序划定的禁止生产区无效。</w:t>
            </w:r>
          </w:p>
          <w:p>
            <w:pPr>
              <w:pStyle w:val="6"/>
              <w:widowControl/>
              <w:snapToGrid w:val="0"/>
              <w:spacing w:beforeAutospacing="0" w:afterAutospacing="0" w:line="320" w:lineRule="exact"/>
              <w:jc w:val="both"/>
              <w:textAlignment w:val="center"/>
              <w:rPr>
                <w:rFonts w:ascii="Times New Roman" w:hAnsi="Times New Roman" w:eastAsia="仿宋_GB2312"/>
                <w:color w:val="000000"/>
              </w:rPr>
            </w:pPr>
            <w:r>
              <w:rPr>
                <w:rFonts w:ascii="Times New Roman" w:hAnsi="Times New Roman" w:eastAsia="仿宋_GB2312"/>
                <w:color w:val="000000"/>
              </w:rPr>
              <w:t>违反本办法规定，擅自移动、损毁禁止生产区标牌的，由县级以上地方人民政府农业行政主管部门责令限期改正，可处以一千元以下罚款。其他违反本办法规定的，依照有关法律法规处罚。　</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spacing w:line="320" w:lineRule="exact"/>
              <w:ind w:firstLine="0" w:firstLineChars="0"/>
              <w:jc w:val="left"/>
              <w:textAlignment w:val="center"/>
              <w:rPr>
                <w:color w:val="000000"/>
                <w:sz w:val="24"/>
              </w:rPr>
            </w:pPr>
            <w:r>
              <w:rPr>
                <w:color w:val="000000"/>
                <w:sz w:val="24"/>
              </w:rPr>
              <w:t>3.</w:t>
            </w:r>
            <w:r>
              <w:rPr>
                <w:color w:val="000000"/>
                <w:kern w:val="0"/>
                <w:sz w:val="24"/>
              </w:rPr>
              <w:t>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47" w:hRule="atLeast"/>
          <w:jc w:val="center"/>
        </w:trPr>
        <w:tc>
          <w:tcPr>
            <w:tcW w:w="810" w:type="dxa"/>
            <w:noWrap w:val="0"/>
            <w:vAlign w:val="center"/>
          </w:tcPr>
          <w:p>
            <w:pPr>
              <w:pStyle w:val="3"/>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p>
        </w:tc>
        <w:tc>
          <w:tcPr>
            <w:tcW w:w="3045" w:type="dxa"/>
            <w:noWrap w:val="0"/>
            <w:vAlign w:val="center"/>
          </w:tcPr>
          <w:p>
            <w:pPr>
              <w:pStyle w:val="3"/>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跨区作业中介服务组织不配备相应的服务设施和技术人员，没有兑现服务承诺，只收费不服务或者多收费少服务</w:t>
            </w:r>
          </w:p>
        </w:tc>
        <w:tc>
          <w:tcPr>
            <w:tcW w:w="7815" w:type="dxa"/>
            <w:noWrap w:val="0"/>
            <w:vAlign w:val="center"/>
          </w:tcPr>
          <w:p>
            <w:pPr>
              <w:pStyle w:val="6"/>
              <w:widowControl/>
              <w:snapToGrid w:val="0"/>
              <w:spacing w:beforeAutospacing="0" w:afterAutospacing="0" w:line="320" w:lineRule="exact"/>
              <w:jc w:val="both"/>
              <w:textAlignment w:val="center"/>
              <w:rPr>
                <w:rFonts w:ascii="Times New Roman" w:hAnsi="Times New Roman" w:eastAsia="仿宋_GB2312"/>
                <w:color w:val="000000"/>
              </w:rPr>
            </w:pPr>
            <w:r>
              <w:rPr>
                <w:rStyle w:val="9"/>
                <w:rFonts w:ascii="Times New Roman" w:hAnsi="Times New Roman" w:eastAsia="仿宋_GB2312"/>
                <w:color w:val="000000"/>
              </w:rPr>
              <w:t>《联合收割机跨区作业管理办法》第二十八条：</w:t>
            </w:r>
            <w:r>
              <w:rPr>
                <w:rFonts w:ascii="Times New Roman" w:hAnsi="Times New Roman" w:eastAsia="仿宋_GB2312"/>
                <w:color w:val="000000"/>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2508" w:type="dxa"/>
            <w:noWrap w:val="0"/>
            <w:vAlign w:val="center"/>
          </w:tcPr>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3"/>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spacing w:line="320" w:lineRule="exact"/>
              <w:ind w:firstLine="0" w:firstLineChars="0"/>
              <w:jc w:val="left"/>
              <w:textAlignment w:val="center"/>
              <w:rPr>
                <w:color w:val="000000"/>
                <w:sz w:val="24"/>
              </w:rPr>
            </w:pPr>
            <w:r>
              <w:rPr>
                <w:color w:val="000000"/>
                <w:sz w:val="24"/>
              </w:rPr>
              <w:t>3.按要求及时改正。</w:t>
            </w:r>
          </w:p>
        </w:tc>
      </w:tr>
    </w:tbl>
    <w:p>
      <w:pPr>
        <w:ind w:left="0" w:leftChars="0" w:firstLine="0" w:firstLineChars="0"/>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9542145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tabs>
                              <w:tab w:val="center" w:pos="4153"/>
                              <w:tab w:val="right" w:pos="8306"/>
                            </w:tabs>
                            <w:adjustRightInd w:val="0"/>
                            <w:snapToGrid w:val="0"/>
                            <w:spacing w:beforeAutospacing="0" w:afterAutospacing="0"/>
                            <w:rPr>
                              <w:rFonts w:ascii="Times New Roman" w:hAnsi="Times New Roman"/>
                              <w:sz w:val="28"/>
                              <w:szCs w:val="28"/>
                            </w:rPr>
                          </w:pPr>
                          <w:r>
                            <w:rPr>
                              <w:rStyle w:val="10"/>
                              <w:rFonts w:ascii="Times New Roman" w:hAnsi="Times New Roman" w:eastAsia="仿宋_GB2312"/>
                              <w:kern w:val="2"/>
                              <w:sz w:val="28"/>
                              <w:szCs w:val="28"/>
                              <w:lang w:bidi="ar"/>
                            </w:rPr>
                            <w:t>—</w:t>
                          </w:r>
                          <w:r>
                            <w:rPr>
                              <w:rStyle w:val="10"/>
                              <w:rFonts w:ascii="Times New Roman" w:hAnsi="Times New Roman" w:eastAsia="仿宋_GB2312"/>
                              <w:kern w:val="2"/>
                              <w:sz w:val="28"/>
                              <w:szCs w:val="28"/>
                              <w:lang w:bidi="ar"/>
                            </w:rPr>
                            <w:fldChar w:fldCharType="begin"/>
                          </w:r>
                          <w:r>
                            <w:rPr>
                              <w:rStyle w:val="10"/>
                              <w:rFonts w:ascii="Times New Roman" w:hAnsi="Times New Roman" w:eastAsia="仿宋_GB2312"/>
                              <w:kern w:val="2"/>
                              <w:sz w:val="28"/>
                              <w:szCs w:val="28"/>
                              <w:lang w:bidi="ar"/>
                            </w:rPr>
                            <w:instrText xml:space="preserve">PAGE  </w:instrText>
                          </w:r>
                          <w:r>
                            <w:rPr>
                              <w:rStyle w:val="10"/>
                              <w:rFonts w:ascii="Times New Roman" w:hAnsi="Times New Roman" w:eastAsia="仿宋_GB2312"/>
                              <w:kern w:val="2"/>
                              <w:sz w:val="28"/>
                              <w:szCs w:val="28"/>
                              <w:lang w:bidi="ar"/>
                            </w:rPr>
                            <w:fldChar w:fldCharType="separate"/>
                          </w:r>
                          <w:r>
                            <w:rPr>
                              <w:rStyle w:val="10"/>
                              <w:rFonts w:ascii="Times New Roman" w:hAnsi="Times New Roman" w:eastAsia="仿宋_GB2312"/>
                              <w:kern w:val="2"/>
                              <w:sz w:val="28"/>
                              <w:szCs w:val="28"/>
                              <w:lang w:bidi="ar"/>
                            </w:rPr>
                            <w:t>12</w:t>
                          </w:r>
                          <w:r>
                            <w:rPr>
                              <w:rStyle w:val="10"/>
                              <w:rFonts w:ascii="Times New Roman" w:hAnsi="Times New Roman" w:eastAsia="仿宋_GB2312"/>
                              <w:kern w:val="2"/>
                              <w:sz w:val="28"/>
                              <w:szCs w:val="28"/>
                              <w:lang w:bidi="ar"/>
                            </w:rPr>
                            <w:fldChar w:fldCharType="end"/>
                          </w:r>
                          <w:r>
                            <w:rPr>
                              <w:rStyle w:val="10"/>
                              <w:rFonts w:ascii="Times New Roman" w:hAnsi="Times New Roman" w:eastAsia="仿宋_GB2312"/>
                              <w:kern w:val="2"/>
                              <w:sz w:val="28"/>
                              <w:szCs w:val="28"/>
                              <w:lang w:bidi="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1.35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dLSuPlTdA0yhZWGrd5bHNFEqb1fHAGmT4lGgThV0Kh4wh6ln/c7EQf/znKIe/y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0OHk1gAAAAoBAAAPAAAAAAAAAAEAIAAAACIAAABkcnMvZG93bnJl&#10;di54bWxQSwECFAAUAAAACACHTuJAXhqPXzgCAABvBAAADgAAAAAAAAABACAAAAAlAQAAZHJzL2Uy&#10;b0RvYy54bWxQSwUGAAAAAAYABgBZAQAAzwUAAAAA&#10;">
              <v:path/>
              <v:fill on="f" focussize="0,0"/>
              <v:stroke on="f" weight="0.5pt"/>
              <v:imagedata o:title=""/>
              <o:lock v:ext="edit" aspectratio="f"/>
              <v:textbox inset="0mm,0mm,0mm,0mm" style="mso-fit-shape-to-text:t;">
                <w:txbxContent>
                  <w:p>
                    <w:pPr>
                      <w:pStyle w:val="6"/>
                      <w:tabs>
                        <w:tab w:val="center" w:pos="4153"/>
                        <w:tab w:val="right" w:pos="8306"/>
                      </w:tabs>
                      <w:adjustRightInd w:val="0"/>
                      <w:snapToGrid w:val="0"/>
                      <w:spacing w:beforeAutospacing="0" w:afterAutospacing="0"/>
                      <w:rPr>
                        <w:rFonts w:ascii="Times New Roman" w:hAnsi="Times New Roman"/>
                        <w:sz w:val="28"/>
                        <w:szCs w:val="28"/>
                      </w:rPr>
                    </w:pPr>
                    <w:r>
                      <w:rPr>
                        <w:rStyle w:val="10"/>
                        <w:rFonts w:ascii="Times New Roman" w:hAnsi="Times New Roman" w:eastAsia="仿宋_GB2312"/>
                        <w:kern w:val="2"/>
                        <w:sz w:val="28"/>
                        <w:szCs w:val="28"/>
                        <w:lang w:bidi="ar"/>
                      </w:rPr>
                      <w:t>—</w:t>
                    </w:r>
                    <w:r>
                      <w:rPr>
                        <w:rStyle w:val="10"/>
                        <w:rFonts w:ascii="Times New Roman" w:hAnsi="Times New Roman" w:eastAsia="仿宋_GB2312"/>
                        <w:kern w:val="2"/>
                        <w:sz w:val="28"/>
                        <w:szCs w:val="28"/>
                        <w:lang w:bidi="ar"/>
                      </w:rPr>
                      <w:fldChar w:fldCharType="begin"/>
                    </w:r>
                    <w:r>
                      <w:rPr>
                        <w:rStyle w:val="10"/>
                        <w:rFonts w:ascii="Times New Roman" w:hAnsi="Times New Roman" w:eastAsia="仿宋_GB2312"/>
                        <w:kern w:val="2"/>
                        <w:sz w:val="28"/>
                        <w:szCs w:val="28"/>
                        <w:lang w:bidi="ar"/>
                      </w:rPr>
                      <w:instrText xml:space="preserve">PAGE  </w:instrText>
                    </w:r>
                    <w:r>
                      <w:rPr>
                        <w:rStyle w:val="10"/>
                        <w:rFonts w:ascii="Times New Roman" w:hAnsi="Times New Roman" w:eastAsia="仿宋_GB2312"/>
                        <w:kern w:val="2"/>
                        <w:sz w:val="28"/>
                        <w:szCs w:val="28"/>
                        <w:lang w:bidi="ar"/>
                      </w:rPr>
                      <w:fldChar w:fldCharType="separate"/>
                    </w:r>
                    <w:r>
                      <w:rPr>
                        <w:rStyle w:val="10"/>
                        <w:rFonts w:ascii="Times New Roman" w:hAnsi="Times New Roman" w:eastAsia="仿宋_GB2312"/>
                        <w:kern w:val="2"/>
                        <w:sz w:val="28"/>
                        <w:szCs w:val="28"/>
                        <w:lang w:bidi="ar"/>
                      </w:rPr>
                      <w:t>12</w:t>
                    </w:r>
                    <w:r>
                      <w:rPr>
                        <w:rStyle w:val="10"/>
                        <w:rFonts w:ascii="Times New Roman" w:hAnsi="Times New Roman" w:eastAsia="仿宋_GB2312"/>
                        <w:kern w:val="2"/>
                        <w:sz w:val="28"/>
                        <w:szCs w:val="28"/>
                        <w:lang w:bidi="ar"/>
                      </w:rPr>
                      <w:fldChar w:fldCharType="end"/>
                    </w:r>
                    <w:r>
                      <w:rPr>
                        <w:rStyle w:val="10"/>
                        <w:rFonts w:ascii="Times New Roman" w:hAnsi="Times New Roman" w:eastAsia="仿宋_GB2312"/>
                        <w:kern w:val="2"/>
                        <w:sz w:val="28"/>
                        <w:szCs w:val="28"/>
                        <w:lang w:bidi="ar"/>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68241CB6"/>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241CB6"/>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outlineLvl w:val="1"/>
    </w:pPr>
    <w:rPr>
      <w:rFonts w:eastAsia="黑体"/>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pPr>
      <w:adjustRightInd/>
      <w:snapToGrid/>
      <w:spacing w:line="240" w:lineRule="auto"/>
      <w:ind w:firstLine="0" w:firstLineChars="0"/>
    </w:pPr>
    <w:rPr>
      <w:rFonts w:ascii="宋体" w:hAnsi="Courier New" w:eastAsia="宋体" w:cs="Courier New"/>
      <w:sz w:val="21"/>
      <w:szCs w:val="21"/>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adjustRightInd/>
      <w:snapToGrid/>
      <w:spacing w:beforeAutospacing="1" w:afterAutospacing="1" w:line="240" w:lineRule="auto"/>
      <w:ind w:firstLine="0" w:firstLineChars="0"/>
      <w:jc w:val="left"/>
    </w:pPr>
    <w:rPr>
      <w:rFonts w:ascii="Calibri" w:hAnsi="Calibri" w:eastAsia="宋体"/>
      <w:kern w:val="0"/>
      <w:sz w:val="24"/>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2022-11-09T02:00:00Z</dcterms:created>
  <dc:creator>万全鹏</dc:creator>
  <cp:lastModifiedBy>万全鹏</cp:lastModifiedBy>
  <dcterms:modified xsi:type="dcterms:W3CDTF">2022-11-09T02:01:34Z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5E51A05E626F46359C44166FC4E77692</vt:lpwstr>
  </property>
</Properties>
</file>